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45CC2" w14:textId="77777777" w:rsidR="00954612" w:rsidRDefault="00954612" w:rsidP="00954612"/>
    <w:p w14:paraId="21FD5900" w14:textId="46EC3FE4" w:rsidR="007D2083" w:rsidRPr="00CE495A" w:rsidRDefault="00220FA2" w:rsidP="004C1667">
      <w:pPr>
        <w:pStyle w:val="Heading2"/>
        <w:rPr>
          <w:sz w:val="32"/>
        </w:rPr>
      </w:pPr>
      <w:r>
        <w:rPr>
          <w:sz w:val="32"/>
        </w:rPr>
        <w:t>‘A climate of possibility</w:t>
      </w:r>
      <w:r w:rsidR="004C1667">
        <w:rPr>
          <w:sz w:val="32"/>
        </w:rPr>
        <w:t>: Harnessing Scotland’s Natural resources to end our contribution to climate change’</w:t>
      </w:r>
    </w:p>
    <w:p w14:paraId="0F4C20E8" w14:textId="77777777" w:rsidR="007D2083" w:rsidRPr="009C0169" w:rsidRDefault="000833F3" w:rsidP="007D2083">
      <w:pPr>
        <w:pStyle w:val="DocumentDate"/>
        <w:rPr>
          <w:sz w:val="22"/>
          <w:szCs w:val="22"/>
        </w:rPr>
      </w:pPr>
      <w:r>
        <w:rPr>
          <w:sz w:val="22"/>
          <w:szCs w:val="22"/>
        </w:rPr>
        <w:t>23</w:t>
      </w:r>
      <w:r w:rsidRPr="000833F3">
        <w:rPr>
          <w:sz w:val="22"/>
          <w:szCs w:val="22"/>
          <w:vertAlign w:val="superscript"/>
        </w:rPr>
        <w:t>rd</w:t>
      </w:r>
      <w:r>
        <w:rPr>
          <w:sz w:val="22"/>
          <w:szCs w:val="22"/>
        </w:rPr>
        <w:t xml:space="preserve"> January 2019</w:t>
      </w:r>
    </w:p>
    <w:p w14:paraId="769717D4" w14:textId="3EB411A1" w:rsidR="007D2083" w:rsidRDefault="007D2083" w:rsidP="007D2083">
      <w:pPr>
        <w:pStyle w:val="Heading2"/>
      </w:pPr>
      <w:r>
        <w:t>Summary</w:t>
      </w:r>
    </w:p>
    <w:tbl>
      <w:tblPr>
        <w:tblStyle w:val="TableGrid"/>
        <w:tblW w:w="9518" w:type="dxa"/>
        <w:tblLook w:val="04A0" w:firstRow="1" w:lastRow="0" w:firstColumn="1" w:lastColumn="0" w:noHBand="0" w:noVBand="1"/>
      </w:tblPr>
      <w:tblGrid>
        <w:gridCol w:w="9518"/>
      </w:tblGrid>
      <w:tr w:rsidR="00975E66" w14:paraId="5B45259E" w14:textId="77777777" w:rsidTr="00364CC0">
        <w:trPr>
          <w:trHeight w:val="4470"/>
        </w:trPr>
        <w:tc>
          <w:tcPr>
            <w:tcW w:w="9518" w:type="dxa"/>
          </w:tcPr>
          <w:p w14:paraId="00F7A5B2" w14:textId="4406A5E5" w:rsidR="00975E66" w:rsidRDefault="00975E66" w:rsidP="00975E66">
            <w:pPr>
              <w:jc w:val="both"/>
              <w:rPr>
                <w:sz w:val="22"/>
                <w:szCs w:val="22"/>
              </w:rPr>
            </w:pPr>
            <w:r w:rsidRPr="006B0345">
              <w:rPr>
                <w:sz w:val="22"/>
                <w:szCs w:val="22"/>
              </w:rPr>
              <w:t xml:space="preserve">This project adapts research developed for </w:t>
            </w:r>
            <w:r w:rsidR="00EC7C6C">
              <w:rPr>
                <w:sz w:val="22"/>
                <w:szCs w:val="22"/>
              </w:rPr>
              <w:t>WWF</w:t>
            </w:r>
            <w:r w:rsidR="00EC7C6C" w:rsidRPr="006B0345">
              <w:rPr>
                <w:sz w:val="22"/>
                <w:szCs w:val="22"/>
              </w:rPr>
              <w:t xml:space="preserve"> </w:t>
            </w:r>
            <w:r w:rsidRPr="006B0345">
              <w:rPr>
                <w:sz w:val="22"/>
                <w:szCs w:val="22"/>
              </w:rPr>
              <w:t>UK, to conduct a bottom up study to show how fast Scotland can meet net</w:t>
            </w:r>
            <w:r w:rsidR="00220FA2">
              <w:rPr>
                <w:sz w:val="22"/>
                <w:szCs w:val="22"/>
              </w:rPr>
              <w:t xml:space="preserve"> </w:t>
            </w:r>
            <w:r w:rsidRPr="006B0345">
              <w:rPr>
                <w:sz w:val="22"/>
                <w:szCs w:val="22"/>
              </w:rPr>
              <w:t xml:space="preserve">zero emissions (by 2050 at the latest) </w:t>
            </w:r>
            <w:r w:rsidR="004C1667">
              <w:rPr>
                <w:sz w:val="22"/>
                <w:szCs w:val="22"/>
              </w:rPr>
              <w:t>with</w:t>
            </w:r>
            <w:r w:rsidRPr="006B0345">
              <w:rPr>
                <w:sz w:val="22"/>
                <w:szCs w:val="22"/>
              </w:rPr>
              <w:t xml:space="preserve"> domestic action. The objective of this work is to provide insight into what achieving net zero greenhouse gas (GHG) emissions implies for Scotland. It builds on the following key evidence sources:</w:t>
            </w:r>
          </w:p>
          <w:p w14:paraId="529A15EF" w14:textId="77777777" w:rsidR="006B0345" w:rsidRPr="006B0345" w:rsidRDefault="006B0345" w:rsidP="00975E66">
            <w:pPr>
              <w:jc w:val="both"/>
              <w:rPr>
                <w:sz w:val="22"/>
                <w:szCs w:val="22"/>
              </w:rPr>
            </w:pPr>
          </w:p>
          <w:p w14:paraId="379C5CD4" w14:textId="2DB6B7E5" w:rsidR="00975E66" w:rsidRPr="006B0345" w:rsidRDefault="00975E66" w:rsidP="00975E66">
            <w:pPr>
              <w:pStyle w:val="ListBullet"/>
              <w:rPr>
                <w:rFonts w:ascii="Georgia" w:hAnsi="Georgia"/>
                <w:sz w:val="22"/>
                <w:szCs w:val="22"/>
              </w:rPr>
            </w:pPr>
            <w:r w:rsidRPr="006B0345">
              <w:rPr>
                <w:rFonts w:ascii="Georgia" w:hAnsi="Georgia"/>
                <w:sz w:val="22"/>
                <w:szCs w:val="22"/>
              </w:rPr>
              <w:t xml:space="preserve">CCC advice to Scottish Government </w:t>
            </w:r>
          </w:p>
          <w:p w14:paraId="04A20F95" w14:textId="055471D1" w:rsidR="00975E66" w:rsidRPr="006B0345" w:rsidRDefault="00975E66" w:rsidP="00975E66">
            <w:pPr>
              <w:pStyle w:val="ListBullet"/>
              <w:rPr>
                <w:rFonts w:ascii="Georgia" w:hAnsi="Georgia"/>
                <w:sz w:val="22"/>
                <w:szCs w:val="22"/>
              </w:rPr>
            </w:pPr>
            <w:r w:rsidRPr="006B0345">
              <w:rPr>
                <w:rFonts w:ascii="Georgia" w:hAnsi="Georgia"/>
                <w:sz w:val="22"/>
                <w:szCs w:val="22"/>
              </w:rPr>
              <w:t>Academic work on greenhouse gas removal (GGR) potential in Scotland</w:t>
            </w:r>
          </w:p>
          <w:p w14:paraId="7AB4B102" w14:textId="7E080E81" w:rsidR="00975E66" w:rsidRDefault="00975E66" w:rsidP="0047272D">
            <w:pPr>
              <w:pStyle w:val="ListBullet"/>
              <w:jc w:val="both"/>
              <w:rPr>
                <w:rFonts w:ascii="Georgia" w:hAnsi="Georgia"/>
                <w:sz w:val="22"/>
                <w:szCs w:val="22"/>
              </w:rPr>
            </w:pPr>
            <w:r w:rsidRPr="006B0345">
              <w:rPr>
                <w:rFonts w:ascii="Georgia" w:hAnsi="Georgia"/>
                <w:sz w:val="22"/>
                <w:szCs w:val="22"/>
              </w:rPr>
              <w:t xml:space="preserve">UK scenario for net zero emissions, based on previous Vivid </w:t>
            </w:r>
            <w:r w:rsidR="006B0345">
              <w:rPr>
                <w:rFonts w:ascii="Georgia" w:hAnsi="Georgia"/>
                <w:sz w:val="22"/>
                <w:szCs w:val="22"/>
              </w:rPr>
              <w:t>analysis for WWF to illustrate UK-</w:t>
            </w:r>
            <w:r w:rsidRPr="006B0345">
              <w:rPr>
                <w:rFonts w:ascii="Georgia" w:hAnsi="Georgia"/>
                <w:sz w:val="22"/>
                <w:szCs w:val="22"/>
              </w:rPr>
              <w:t>wide net zero pat</w:t>
            </w:r>
            <w:r w:rsidR="006B0345" w:rsidRPr="006B0345">
              <w:rPr>
                <w:rFonts w:ascii="Georgia" w:hAnsi="Georgia"/>
                <w:sz w:val="22"/>
                <w:szCs w:val="22"/>
              </w:rPr>
              <w:t>hways</w:t>
            </w:r>
          </w:p>
          <w:p w14:paraId="288571B3" w14:textId="2267B539" w:rsidR="006B0345" w:rsidRPr="006B0345" w:rsidRDefault="006B0345" w:rsidP="006B0345">
            <w:pPr>
              <w:pStyle w:val="ListBullet"/>
              <w:numPr>
                <w:ilvl w:val="0"/>
                <w:numId w:val="0"/>
              </w:numPr>
              <w:ind w:left="680" w:hanging="340"/>
              <w:jc w:val="both"/>
              <w:rPr>
                <w:rFonts w:ascii="Georgia" w:hAnsi="Georgia"/>
                <w:sz w:val="22"/>
                <w:szCs w:val="22"/>
              </w:rPr>
            </w:pPr>
          </w:p>
          <w:p w14:paraId="283A2FB6" w14:textId="2ABC0272" w:rsidR="00975E66" w:rsidRDefault="006B0345" w:rsidP="006B0345">
            <w:pPr>
              <w:spacing w:line="276" w:lineRule="auto"/>
            </w:pPr>
            <w:r w:rsidRPr="006B0345">
              <w:rPr>
                <w:sz w:val="22"/>
                <w:szCs w:val="22"/>
              </w:rPr>
              <w:t>Reducing Scotland’s net emissions to zero will end our contribution to climate change, help to restore nature and build an innovative, globally-facing economy. We have long known that the economic costs of tackling climate change far outweigh the costs of failing to act and that the benefits for human health, the economy and nature are huge. Reaching for net zero and planning a just transition towards it will allow us to build a healthier, cleaner, flourishing Scotland for all, and strong working relationships with other nations striving for a living planet.</w:t>
            </w:r>
          </w:p>
        </w:tc>
      </w:tr>
    </w:tbl>
    <w:p w14:paraId="7104D828" w14:textId="769B9A5E" w:rsidR="007D2083" w:rsidRDefault="00975E66" w:rsidP="007D2083">
      <w:pPr>
        <w:pStyle w:val="Heading2"/>
      </w:pPr>
      <w:r>
        <w:t>KEY messages</w:t>
      </w:r>
    </w:p>
    <w:p w14:paraId="61E57276" w14:textId="1707E177" w:rsidR="007D2083" w:rsidRDefault="00220FA2" w:rsidP="00CE495A">
      <w:pPr>
        <w:pStyle w:val="BodyText"/>
        <w:numPr>
          <w:ilvl w:val="0"/>
          <w:numId w:val="6"/>
        </w:numPr>
        <w:spacing w:before="0" w:after="0"/>
      </w:pPr>
      <w:r>
        <w:rPr>
          <w:b/>
        </w:rPr>
        <w:t>Maximising S</w:t>
      </w:r>
      <w:r w:rsidR="006B0345">
        <w:rPr>
          <w:b/>
        </w:rPr>
        <w:t xml:space="preserve">cotland’s assets: </w:t>
      </w:r>
      <w:r w:rsidR="00975E66" w:rsidRPr="00975E66">
        <w:t>Scotland is well positioned to reduce its emissions given its natural endowments</w:t>
      </w:r>
      <w:r>
        <w:t xml:space="preserve"> and potential for carbon sinks.</w:t>
      </w:r>
    </w:p>
    <w:p w14:paraId="03196C07" w14:textId="78B1C29D" w:rsidR="00975E66" w:rsidRDefault="006B0345" w:rsidP="00CE495A">
      <w:pPr>
        <w:pStyle w:val="BodyText"/>
        <w:numPr>
          <w:ilvl w:val="0"/>
          <w:numId w:val="6"/>
        </w:numPr>
        <w:spacing w:before="0" w:after="0"/>
      </w:pPr>
      <w:r>
        <w:rPr>
          <w:b/>
        </w:rPr>
        <w:t xml:space="preserve">Sectoral </w:t>
      </w:r>
      <w:r w:rsidR="00B620AD">
        <w:rPr>
          <w:b/>
        </w:rPr>
        <w:t>reductions needed</w:t>
      </w:r>
      <w:r>
        <w:rPr>
          <w:b/>
        </w:rPr>
        <w:t xml:space="preserve">: </w:t>
      </w:r>
      <w:r w:rsidR="00975E66" w:rsidRPr="00975E66">
        <w:t>To reach net zero, deep emissions reductions are necessary across all sectors</w:t>
      </w:r>
      <w:r w:rsidR="00EC7C6C">
        <w:t xml:space="preserve"> but not all sectors will themselves reach zero emissions.</w:t>
      </w:r>
    </w:p>
    <w:p w14:paraId="7EE55E80" w14:textId="4E8B2B07" w:rsidR="008801BA" w:rsidRDefault="003A71CD" w:rsidP="00CE495A">
      <w:pPr>
        <w:pStyle w:val="BodyText"/>
        <w:numPr>
          <w:ilvl w:val="0"/>
          <w:numId w:val="6"/>
        </w:numPr>
        <w:spacing w:before="0" w:after="0"/>
      </w:pPr>
      <w:r>
        <w:rPr>
          <w:b/>
        </w:rPr>
        <w:t xml:space="preserve">Greenhouse gas removal (GGR) </w:t>
      </w:r>
      <w:r w:rsidR="0017156B">
        <w:rPr>
          <w:b/>
        </w:rPr>
        <w:t>key</w:t>
      </w:r>
      <w:r>
        <w:rPr>
          <w:b/>
        </w:rPr>
        <w:t xml:space="preserve">: </w:t>
      </w:r>
      <w:r>
        <w:t>A portfolio approach to GGR would allow Scotland to set a robust pathway towards achieving negative emissions by 2050</w:t>
      </w:r>
      <w:r w:rsidR="00843427">
        <w:t>.</w:t>
      </w:r>
      <w:r>
        <w:t xml:space="preserve"> </w:t>
      </w:r>
    </w:p>
    <w:p w14:paraId="2E5DAC5C" w14:textId="021C5B74" w:rsidR="00184388" w:rsidRDefault="006B0345" w:rsidP="00CE495A">
      <w:pPr>
        <w:pStyle w:val="BodyText"/>
        <w:numPr>
          <w:ilvl w:val="0"/>
          <w:numId w:val="6"/>
        </w:numPr>
        <w:spacing w:before="0" w:after="0"/>
      </w:pPr>
      <w:r>
        <w:rPr>
          <w:b/>
        </w:rPr>
        <w:t xml:space="preserve">Multiple pathways: </w:t>
      </w:r>
      <w:r w:rsidR="00184388" w:rsidRPr="00184388">
        <w:t>There are multiple options for Scotland to deliver and exceed net zero by 2050, even with weaker than expected GGR deployment.</w:t>
      </w:r>
    </w:p>
    <w:p w14:paraId="055A14BD" w14:textId="32380835" w:rsidR="002625AE" w:rsidRDefault="006B0345" w:rsidP="002625AE">
      <w:pPr>
        <w:pStyle w:val="BodyText"/>
        <w:numPr>
          <w:ilvl w:val="0"/>
          <w:numId w:val="6"/>
        </w:numPr>
        <w:spacing w:before="0" w:after="0"/>
      </w:pPr>
      <w:r>
        <w:rPr>
          <w:b/>
        </w:rPr>
        <w:t xml:space="preserve">Net zero before 2050 is feasible: </w:t>
      </w:r>
      <w:r w:rsidR="00184388" w:rsidRPr="00184388">
        <w:t>Scotland reaches net zero GHG emissions before 2045 in our scenario, with options to further reduce emissions.</w:t>
      </w:r>
      <w:r>
        <w:t xml:space="preserve"> </w:t>
      </w:r>
      <w:r w:rsidR="00EC7C6C">
        <w:t xml:space="preserve">This could </w:t>
      </w:r>
      <w:r w:rsidRPr="001E3EB6">
        <w:t>even</w:t>
      </w:r>
      <w:r w:rsidR="00EC7C6C">
        <w:t xml:space="preserve"> happen sooner</w:t>
      </w:r>
      <w:r w:rsidRPr="001E3EB6">
        <w:t xml:space="preserve"> with further action, for example on sinks or dietary change.</w:t>
      </w:r>
      <w:r w:rsidR="004C1667">
        <w:t xml:space="preserve"> </w:t>
      </w:r>
      <w:r w:rsidRPr="001E3EB6">
        <w:t>And by 2050, Scotland could be removing far more emissions than it creates</w:t>
      </w:r>
      <w:r w:rsidR="00EC7C6C">
        <w:t xml:space="preserve"> (-120% on 1990).</w:t>
      </w:r>
    </w:p>
    <w:p w14:paraId="68B9FAE3" w14:textId="56AC2B51" w:rsidR="00975E66" w:rsidRDefault="00CE495A" w:rsidP="00975E66">
      <w:pPr>
        <w:pStyle w:val="Heading2"/>
      </w:pPr>
      <w:r>
        <w:lastRenderedPageBreak/>
        <w:t>Opportunities for further emission reductions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1D55AF" w:rsidRPr="009A4C65" w14:paraId="2223BD80" w14:textId="77777777" w:rsidTr="001D55AF">
        <w:tc>
          <w:tcPr>
            <w:tcW w:w="9016" w:type="dxa"/>
            <w:shd w:val="clear" w:color="auto" w:fill="F2F2F2" w:themeFill="background1" w:themeFillShade="F2"/>
          </w:tcPr>
          <w:p w14:paraId="31C65E7D" w14:textId="0EFF5FE5" w:rsidR="001D55AF" w:rsidRPr="009A4C65" w:rsidRDefault="004C1667" w:rsidP="001D55AF">
            <w:pPr>
              <w:jc w:val="both"/>
              <w:rPr>
                <w:sz w:val="22"/>
                <w:szCs w:val="22"/>
              </w:rPr>
            </w:pPr>
            <w:r w:rsidRPr="009A4C65">
              <w:rPr>
                <w:b/>
                <w:sz w:val="22"/>
                <w:szCs w:val="22"/>
              </w:rPr>
              <w:t xml:space="preserve">Scotland’s current </w:t>
            </w:r>
            <w:r w:rsidR="001D55AF" w:rsidRPr="009A4C65">
              <w:rPr>
                <w:b/>
                <w:sz w:val="22"/>
                <w:szCs w:val="22"/>
              </w:rPr>
              <w:t>emission reduction pathway implies deep emission cuts across all sectors.</w:t>
            </w:r>
            <w:r w:rsidR="001D55AF" w:rsidRPr="009A4C65">
              <w:rPr>
                <w:sz w:val="22"/>
                <w:szCs w:val="22"/>
              </w:rPr>
              <w:t xml:space="preserve"> </w:t>
            </w:r>
          </w:p>
        </w:tc>
      </w:tr>
    </w:tbl>
    <w:p w14:paraId="5590E9E0" w14:textId="77777777" w:rsidR="001D55AF" w:rsidRPr="009A4C65" w:rsidRDefault="001D55AF" w:rsidP="00CE495A">
      <w:pPr>
        <w:jc w:val="both"/>
        <w:rPr>
          <w:szCs w:val="22"/>
        </w:rPr>
      </w:pPr>
    </w:p>
    <w:p w14:paraId="77A1E64B" w14:textId="25D970E2" w:rsidR="00CE495A" w:rsidRDefault="002625AE" w:rsidP="00CE495A">
      <w:pPr>
        <w:jc w:val="both"/>
        <w:rPr>
          <w:szCs w:val="22"/>
        </w:rPr>
      </w:pPr>
      <w:r w:rsidRPr="009A4C65">
        <w:rPr>
          <w:szCs w:val="22"/>
        </w:rPr>
        <w:t>As set out by the CCC,</w:t>
      </w:r>
      <w:r w:rsidR="00CE495A" w:rsidRPr="009A4C65">
        <w:rPr>
          <w:szCs w:val="22"/>
        </w:rPr>
        <w:t xml:space="preserve"> Scotland must drastically reduce emissions across all economic sectors.</w:t>
      </w:r>
      <w:r w:rsidR="00725B16">
        <w:rPr>
          <w:szCs w:val="22"/>
        </w:rPr>
        <w:t xml:space="preserve"> </w:t>
      </w:r>
      <w:r w:rsidR="00725B16">
        <w:t>This implies deep cuts across all sectors,</w:t>
      </w:r>
      <w:r w:rsidR="00725B16" w:rsidRPr="000854D1">
        <w:t xml:space="preserve"> </w:t>
      </w:r>
      <w:r w:rsidR="00725B16">
        <w:t>with approximately 34 MtCO</w:t>
      </w:r>
      <w:r w:rsidR="00725B16">
        <w:rPr>
          <w:vertAlign w:val="subscript"/>
        </w:rPr>
        <w:t>2</w:t>
      </w:r>
      <w:r w:rsidR="00725B16">
        <w:t>e reduced from 2016 levels and 60 MtCO</w:t>
      </w:r>
      <w:r w:rsidR="00725B16">
        <w:rPr>
          <w:vertAlign w:val="subscript"/>
        </w:rPr>
        <w:t>2</w:t>
      </w:r>
      <w:r w:rsidR="00725B16">
        <w:t xml:space="preserve"> from 1990 levels.</w:t>
      </w:r>
      <w:r w:rsidR="00CE495A" w:rsidRPr="009A4C65">
        <w:rPr>
          <w:szCs w:val="22"/>
        </w:rPr>
        <w:t xml:space="preserve"> </w:t>
      </w:r>
      <w:r w:rsidR="00CE495A" w:rsidRPr="007130EF">
        <w:rPr>
          <w:b/>
          <w:szCs w:val="22"/>
        </w:rPr>
        <w:t>It is achievable while maintaining economic growth, and without</w:t>
      </w:r>
      <w:r w:rsidR="00CE495A" w:rsidRPr="007130EF">
        <w:rPr>
          <w:b/>
          <w:i/>
          <w:szCs w:val="22"/>
        </w:rPr>
        <w:t xml:space="preserve"> </w:t>
      </w:r>
      <w:r w:rsidR="00CE495A" w:rsidRPr="007130EF">
        <w:rPr>
          <w:b/>
          <w:szCs w:val="22"/>
        </w:rPr>
        <w:t>reducing production of carbon intensive products.</w:t>
      </w:r>
      <w:r w:rsidR="00CE495A" w:rsidRPr="009A4C65">
        <w:rPr>
          <w:szCs w:val="22"/>
        </w:rPr>
        <w:t xml:space="preserve"> However, a broad suite of supportive policy </w:t>
      </w:r>
      <w:r w:rsidRPr="009A4C65">
        <w:rPr>
          <w:szCs w:val="22"/>
        </w:rPr>
        <w:t xml:space="preserve">from Scottish Government </w:t>
      </w:r>
      <w:r w:rsidR="00CE495A" w:rsidRPr="009A4C65">
        <w:rPr>
          <w:szCs w:val="22"/>
        </w:rPr>
        <w:t>will be required, to incentivise the required transition and mitigate carbon leakage risk</w:t>
      </w:r>
      <w:r w:rsidRPr="009A4C65">
        <w:rPr>
          <w:szCs w:val="22"/>
        </w:rPr>
        <w:t>.</w:t>
      </w:r>
    </w:p>
    <w:p w14:paraId="13F18E2A" w14:textId="5A0C6FB0" w:rsidR="002625AE" w:rsidRPr="009A4C65" w:rsidRDefault="002625AE" w:rsidP="00CE495A">
      <w:pPr>
        <w:jc w:val="both"/>
        <w:rPr>
          <w:szCs w:val="22"/>
        </w:rPr>
      </w:pPr>
    </w:p>
    <w:p w14:paraId="31DA0346" w14:textId="77777777" w:rsidR="002625AE" w:rsidRPr="001E3EB6" w:rsidRDefault="002625AE" w:rsidP="002625AE">
      <w:pPr>
        <w:numPr>
          <w:ilvl w:val="0"/>
          <w:numId w:val="10"/>
        </w:numPr>
        <w:spacing w:after="160" w:line="252" w:lineRule="auto"/>
        <w:contextualSpacing/>
      </w:pPr>
      <w:r w:rsidRPr="009A4C65">
        <w:rPr>
          <w:szCs w:val="22"/>
        </w:rPr>
        <w:t>The power</w:t>
      </w:r>
      <w:r w:rsidRPr="001E3EB6">
        <w:t xml:space="preserve"> sector, transport and buildings sectors can all reach zero or near-zero emissions. </w:t>
      </w:r>
    </w:p>
    <w:p w14:paraId="13BC602F" w14:textId="77777777" w:rsidR="002625AE" w:rsidRPr="001E3EB6" w:rsidRDefault="002625AE" w:rsidP="002625AE">
      <w:pPr>
        <w:numPr>
          <w:ilvl w:val="0"/>
          <w:numId w:val="10"/>
        </w:numPr>
        <w:spacing w:after="160" w:line="252" w:lineRule="auto"/>
        <w:contextualSpacing/>
      </w:pPr>
      <w:r w:rsidRPr="001E3EB6">
        <w:t>Emissions in industry can be reduced by at least 60% without reducing productive capacity.</w:t>
      </w:r>
    </w:p>
    <w:p w14:paraId="573C4B85" w14:textId="2A9FAE73" w:rsidR="002625AE" w:rsidRDefault="002625AE" w:rsidP="002625AE">
      <w:pPr>
        <w:numPr>
          <w:ilvl w:val="0"/>
          <w:numId w:val="10"/>
        </w:numPr>
        <w:spacing w:after="160" w:line="252" w:lineRule="auto"/>
        <w:contextualSpacing/>
      </w:pPr>
      <w:r w:rsidRPr="001E3EB6">
        <w:t>Agriculture can reduce emissions by around 35% while maintaining current production levels. Farms will have a growing and crucial role in deploying carbon sinks to help offset emissions</w:t>
      </w:r>
      <w:r w:rsidR="00EC7C6C">
        <w:t>, with each farm on average deploying some form of GGR, often alongside existing practices.</w:t>
      </w:r>
    </w:p>
    <w:p w14:paraId="0A641A77" w14:textId="7A973218" w:rsidR="00CE495A" w:rsidRDefault="009A4C65" w:rsidP="00364CC0">
      <w:pPr>
        <w:numPr>
          <w:ilvl w:val="0"/>
          <w:numId w:val="10"/>
        </w:numPr>
        <w:spacing w:after="160" w:line="276" w:lineRule="auto"/>
        <w:contextualSpacing/>
      </w:pPr>
      <w:r w:rsidRPr="00FF1D51">
        <w:t>Carbon sinks have a critical role to play in balancing remaining emissions and can even take us beyond net zero to -120% emissions reduction by 2050 with enough policy support and a strategic approach</w:t>
      </w:r>
      <w:r>
        <w:t>.</w:t>
      </w:r>
    </w:p>
    <w:p w14:paraId="644D139A" w14:textId="5B6D4090" w:rsidR="00CE495A" w:rsidRDefault="00CE495A" w:rsidP="00CE495A">
      <w:pPr>
        <w:pStyle w:val="Heading2"/>
      </w:pPr>
      <w:r>
        <w:t>G</w:t>
      </w:r>
      <w:r w:rsidR="009A4C65">
        <w:t>G</w:t>
      </w:r>
      <w:r>
        <w:t>R Deployment and implications for scotland’s land use</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1D55AF" w:rsidRPr="009A4C65" w14:paraId="38036510" w14:textId="77777777" w:rsidTr="001D55AF">
        <w:tc>
          <w:tcPr>
            <w:tcW w:w="9016" w:type="dxa"/>
            <w:shd w:val="clear" w:color="auto" w:fill="F2F2F2" w:themeFill="background1" w:themeFillShade="F2"/>
          </w:tcPr>
          <w:p w14:paraId="7A1FFB94" w14:textId="683FBB37" w:rsidR="001D55AF" w:rsidRPr="009A4C65" w:rsidRDefault="009A4C65" w:rsidP="009A4C65">
            <w:pPr>
              <w:jc w:val="both"/>
              <w:rPr>
                <w:b/>
                <w:sz w:val="22"/>
                <w:szCs w:val="22"/>
              </w:rPr>
            </w:pPr>
            <w:r w:rsidRPr="009A4C65">
              <w:rPr>
                <w:b/>
                <w:sz w:val="22"/>
                <w:szCs w:val="22"/>
              </w:rPr>
              <w:t xml:space="preserve">Achieving large scale GGR in Scotland by 2050 will require a rapid ramp up over the coming decades. This will require strong policy support from both the Scottish and UK governments. </w:t>
            </w:r>
          </w:p>
        </w:tc>
      </w:tr>
    </w:tbl>
    <w:p w14:paraId="7AB08CF3" w14:textId="360EEAA6" w:rsidR="005205FD" w:rsidRPr="00325FCE" w:rsidRDefault="005205FD" w:rsidP="005205FD">
      <w:pPr>
        <w:pStyle w:val="BodyText"/>
      </w:pPr>
      <w:r w:rsidRPr="00325FCE">
        <w:t>Deploying currently known emission reduction measures across its economy, Scotland would emit around 13 MtCO</w:t>
      </w:r>
      <w:r w:rsidRPr="00325FCE">
        <w:rPr>
          <w:vertAlign w:val="subscript"/>
        </w:rPr>
        <w:t>2</w:t>
      </w:r>
      <w:r w:rsidRPr="00325FCE">
        <w:t>e per year in 2050 (</w:t>
      </w:r>
      <w:r w:rsidRPr="00325FCE">
        <w:fldChar w:fldCharType="begin"/>
      </w:r>
      <w:r w:rsidRPr="00325FCE">
        <w:instrText xml:space="preserve"> REF _Ref534647513 \h </w:instrText>
      </w:r>
      <w:r w:rsidR="00325FCE" w:rsidRPr="00325FCE">
        <w:instrText xml:space="preserve"> \* MERGEFORMAT </w:instrText>
      </w:r>
      <w:r w:rsidRPr="00325FCE">
        <w:fldChar w:fldCharType="separate"/>
      </w:r>
      <w:r w:rsidRPr="00325FCE">
        <w:t xml:space="preserve">Figure </w:t>
      </w:r>
      <w:r w:rsidRPr="00325FCE">
        <w:rPr>
          <w:noProof/>
        </w:rPr>
        <w:t>1</w:t>
      </w:r>
      <w:r w:rsidRPr="00325FCE">
        <w:fldChar w:fldCharType="end"/>
      </w:r>
      <w:r w:rsidRPr="00325FCE">
        <w:t>).</w:t>
      </w:r>
    </w:p>
    <w:p w14:paraId="29E57A7E" w14:textId="77777777" w:rsidR="007E1934" w:rsidRPr="000E6A7F" w:rsidRDefault="005205FD" w:rsidP="00906A38">
      <w:pPr>
        <w:pStyle w:val="BodyText"/>
        <w:spacing w:before="0" w:after="0"/>
        <w:jc w:val="center"/>
        <w:rPr>
          <w:b/>
          <w:i/>
          <w:sz w:val="20"/>
          <w:szCs w:val="20"/>
        </w:rPr>
      </w:pPr>
      <w:r w:rsidRPr="000E6A7F">
        <w:rPr>
          <w:b/>
          <w:i/>
          <w:sz w:val="20"/>
          <w:szCs w:val="20"/>
        </w:rPr>
        <w:t>Figure 1: Scotland’s Emissions in 2050</w:t>
      </w:r>
      <w:r w:rsidRPr="000E6A7F">
        <w:rPr>
          <w:i/>
          <w:noProof/>
          <w:sz w:val="20"/>
          <w:szCs w:val="20"/>
        </w:rPr>
        <w:drawing>
          <wp:inline distT="0" distB="0" distL="0" distR="0" wp14:anchorId="4E3D5C8A" wp14:editId="4BC90555">
            <wp:extent cx="4935465" cy="2933700"/>
            <wp:effectExtent l="0" t="0" r="0" b="0"/>
            <wp:docPr id="9" name="Picture 8">
              <a:extLst xmlns:a="http://schemas.openxmlformats.org/drawingml/2006/main">
                <a:ext uri="{FF2B5EF4-FFF2-40B4-BE49-F238E27FC236}">
                  <a16:creationId xmlns:a16="http://schemas.microsoft.com/office/drawing/2014/main" id="{8797BA0E-761C-4A83-B9EA-22611A754E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797BA0E-761C-4A83-B9EA-22611A754E66}"/>
                        </a:ext>
                      </a:extLst>
                    </pic:cNvPr>
                    <pic:cNvPicPr>
                      <a:picLocks noChangeAspect="1"/>
                    </pic:cNvPicPr>
                  </pic:nvPicPr>
                  <pic:blipFill>
                    <a:blip r:embed="rId7"/>
                    <a:stretch>
                      <a:fillRect/>
                    </a:stretch>
                  </pic:blipFill>
                  <pic:spPr>
                    <a:xfrm>
                      <a:off x="0" y="0"/>
                      <a:ext cx="5039735" cy="2995679"/>
                    </a:xfrm>
                    <a:prstGeom prst="rect">
                      <a:avLst/>
                    </a:prstGeom>
                  </pic:spPr>
                </pic:pic>
              </a:graphicData>
            </a:graphic>
          </wp:inline>
        </w:drawing>
      </w:r>
    </w:p>
    <w:p w14:paraId="45C1CCD2" w14:textId="73A5FF56" w:rsidR="007E1934" w:rsidRPr="00906A38" w:rsidRDefault="007E1934" w:rsidP="00906A38">
      <w:pPr>
        <w:pStyle w:val="BodyText"/>
        <w:spacing w:before="0" w:after="0"/>
        <w:jc w:val="center"/>
        <w:rPr>
          <w:i/>
          <w:sz w:val="18"/>
          <w:szCs w:val="20"/>
        </w:rPr>
      </w:pPr>
      <w:r w:rsidRPr="00906A38">
        <w:rPr>
          <w:i/>
          <w:sz w:val="16"/>
          <w:szCs w:val="18"/>
        </w:rPr>
        <w:t>Source</w:t>
      </w:r>
      <w:r w:rsidR="00906A38" w:rsidRPr="00906A38">
        <w:rPr>
          <w:i/>
          <w:sz w:val="16"/>
          <w:szCs w:val="18"/>
        </w:rPr>
        <w:t xml:space="preserve">: Vivid Economics calculations, based on </w:t>
      </w:r>
      <w:proofErr w:type="spellStart"/>
      <w:r w:rsidR="00906A38" w:rsidRPr="00906A38">
        <w:rPr>
          <w:i/>
          <w:sz w:val="16"/>
          <w:szCs w:val="18"/>
        </w:rPr>
        <w:t>Alcade</w:t>
      </w:r>
      <w:proofErr w:type="spellEnd"/>
      <w:r w:rsidR="00906A38" w:rsidRPr="00906A38">
        <w:rPr>
          <w:i/>
          <w:sz w:val="16"/>
          <w:szCs w:val="18"/>
        </w:rPr>
        <w:t xml:space="preserve"> et al. (2018), CCC (2017), Vivid Economics (2018)</w:t>
      </w:r>
    </w:p>
    <w:p w14:paraId="6E628FCF" w14:textId="7D8BAFBC" w:rsidR="005205FD" w:rsidRDefault="00325FCE" w:rsidP="005205FD">
      <w:pPr>
        <w:pStyle w:val="BodyText"/>
        <w:rPr>
          <w:b/>
          <w:szCs w:val="22"/>
        </w:rPr>
      </w:pPr>
      <w:r>
        <w:lastRenderedPageBreak/>
        <w:t>Given Scotland’s large land area, it can compensate for these emissions through a portfolio of GGR options</w:t>
      </w:r>
      <w:r>
        <w:t xml:space="preserve">. </w:t>
      </w:r>
      <w:r w:rsidR="005205FD" w:rsidRPr="009A4C65">
        <w:rPr>
          <w:b/>
          <w:szCs w:val="22"/>
        </w:rPr>
        <w:t>A portfolio approach to GGR – pursuing mature options and testing less-mature options - would allow Scotland to set a robust pathway towards achieving negative emissions by 2050.</w:t>
      </w:r>
    </w:p>
    <w:p w14:paraId="2D403157" w14:textId="0755A295" w:rsidR="00B63BAB" w:rsidRPr="001D55AF" w:rsidRDefault="00A4229F" w:rsidP="007D2083">
      <w:pPr>
        <w:pStyle w:val="BodyText"/>
      </w:pPr>
      <w:r>
        <w:t xml:space="preserve">Our </w:t>
      </w:r>
      <w:r w:rsidR="00CE495A" w:rsidRPr="009A4C65">
        <w:rPr>
          <w:szCs w:val="22"/>
        </w:rPr>
        <w:t>scenario</w:t>
      </w:r>
      <w:r w:rsidR="00B63BAB" w:rsidRPr="009A4C65">
        <w:rPr>
          <w:szCs w:val="22"/>
        </w:rPr>
        <w:t xml:space="preserve"> (see Appendix 1)</w:t>
      </w:r>
      <w:r w:rsidR="00CE495A" w:rsidRPr="009A4C65">
        <w:rPr>
          <w:szCs w:val="22"/>
        </w:rPr>
        <w:t xml:space="preserve"> sets out a portfolio of GGR options deployed at scale, which together achieve -31 MtCO</w:t>
      </w:r>
      <w:r w:rsidR="00CE495A" w:rsidRPr="009A4C65">
        <w:rPr>
          <w:szCs w:val="22"/>
          <w:vertAlign w:val="subscript"/>
        </w:rPr>
        <w:t xml:space="preserve">2 </w:t>
      </w:r>
      <w:r w:rsidR="00CE495A" w:rsidRPr="009A4C65">
        <w:rPr>
          <w:szCs w:val="22"/>
        </w:rPr>
        <w:t>of GGR in Scotland.</w:t>
      </w:r>
      <w:r w:rsidR="00B63BAB" w:rsidRPr="009A4C65">
        <w:rPr>
          <w:szCs w:val="22"/>
        </w:rPr>
        <w:t xml:space="preserve"> GGR deployment in Scotland could exceed the -31 MtCO</w:t>
      </w:r>
      <w:r w:rsidR="00B63BAB" w:rsidRPr="009A4C65">
        <w:rPr>
          <w:szCs w:val="22"/>
          <w:vertAlign w:val="subscript"/>
        </w:rPr>
        <w:t>2</w:t>
      </w:r>
      <w:r w:rsidR="00B63BAB" w:rsidRPr="009A4C65">
        <w:rPr>
          <w:szCs w:val="22"/>
        </w:rPr>
        <w:t xml:space="preserve"> included in our scenario. This scenario makes two key judgements</w:t>
      </w:r>
      <w:r w:rsidR="00B63BAB" w:rsidRPr="001D55AF">
        <w:t xml:space="preserve">: </w:t>
      </w:r>
    </w:p>
    <w:p w14:paraId="03C61EDA" w14:textId="5895B391" w:rsidR="00B63BAB" w:rsidRPr="008344A9" w:rsidRDefault="001D55AF" w:rsidP="001D55AF">
      <w:pPr>
        <w:pStyle w:val="BodyText"/>
        <w:numPr>
          <w:ilvl w:val="0"/>
          <w:numId w:val="9"/>
        </w:numPr>
        <w:spacing w:after="0"/>
      </w:pPr>
      <w:r w:rsidRPr="009A4C65">
        <w:rPr>
          <w:b/>
          <w:i/>
        </w:rPr>
        <w:t>Land use change:</w:t>
      </w:r>
      <w:r w:rsidRPr="001D55AF">
        <w:t xml:space="preserve"> Our scenario has been constructed to limit the impact on current Scottish land </w:t>
      </w:r>
      <w:r w:rsidRPr="008344A9">
        <w:t xml:space="preserve">use </w:t>
      </w:r>
      <w:proofErr w:type="gramStart"/>
      <w:r w:rsidRPr="008344A9">
        <w:t>patterns, and</w:t>
      </w:r>
      <w:proofErr w:type="gramEnd"/>
      <w:r w:rsidRPr="008344A9">
        <w:t xml:space="preserve"> reflects a preference towards nature-based solutions</w:t>
      </w:r>
      <w:r w:rsidR="008124BB">
        <w:t>.</w:t>
      </w:r>
    </w:p>
    <w:p w14:paraId="08102EA4" w14:textId="67FBFAB8" w:rsidR="00C63F29" w:rsidRPr="008344A9" w:rsidRDefault="001D55AF" w:rsidP="00C63F29">
      <w:pPr>
        <w:pStyle w:val="ListBullet"/>
        <w:numPr>
          <w:ilvl w:val="0"/>
          <w:numId w:val="9"/>
        </w:numPr>
        <w:spacing w:after="0"/>
        <w:jc w:val="both"/>
        <w:rPr>
          <w:rFonts w:ascii="Georgia" w:hAnsi="Georgia"/>
        </w:rPr>
      </w:pPr>
      <w:r w:rsidRPr="008344A9">
        <w:rPr>
          <w:rFonts w:ascii="Georgia" w:eastAsia="Times New Roman" w:hAnsi="Georgia" w:cs="Times New Roman"/>
          <w:b/>
          <w:i/>
          <w:szCs w:val="24"/>
          <w:lang w:eastAsia="en-GB"/>
        </w:rPr>
        <w:t>DACCS deployment:</w:t>
      </w:r>
      <w:r w:rsidRPr="008344A9">
        <w:rPr>
          <w:rFonts w:ascii="Georgia" w:eastAsia="Times New Roman" w:hAnsi="Georgia" w:cs="Times New Roman"/>
          <w:szCs w:val="24"/>
          <w:lang w:eastAsia="en-GB"/>
        </w:rPr>
        <w:t xml:space="preserve"> We include a modest deployment level given DACCS technological immaturity and related uncertainty. However, Scotland’s large renewable capacity and availability of CO2 storage could allow it to deploy DACCS significantly beyond the level included in our scenario.  </w:t>
      </w:r>
    </w:p>
    <w:p w14:paraId="48CE4906" w14:textId="2CD43F67" w:rsidR="00C63F29" w:rsidRPr="008344A9" w:rsidRDefault="00C63F29" w:rsidP="00C63F29">
      <w:pPr>
        <w:pStyle w:val="ListBullet"/>
        <w:numPr>
          <w:ilvl w:val="0"/>
          <w:numId w:val="0"/>
        </w:numPr>
        <w:spacing w:after="0"/>
        <w:ind w:left="680" w:hanging="340"/>
        <w:jc w:val="both"/>
        <w:rPr>
          <w:rFonts w:ascii="Georgia" w:hAnsi="Georgia"/>
        </w:rPr>
      </w:pPr>
    </w:p>
    <w:p w14:paraId="3401FD7E" w14:textId="5FF427FE" w:rsidR="00C63F29" w:rsidRDefault="00994643" w:rsidP="00C21C57">
      <w:pPr>
        <w:pStyle w:val="ListBullet"/>
        <w:numPr>
          <w:ilvl w:val="0"/>
          <w:numId w:val="0"/>
        </w:numPr>
        <w:spacing w:after="0"/>
        <w:jc w:val="both"/>
        <w:rPr>
          <w:rFonts w:ascii="Georgia" w:hAnsi="Georgia"/>
          <w:b/>
        </w:rPr>
      </w:pPr>
      <w:r w:rsidRPr="008344A9">
        <w:rPr>
          <w:rFonts w:ascii="Georgia" w:hAnsi="Georgia"/>
          <w:b/>
        </w:rPr>
        <w:t xml:space="preserve">Policy </w:t>
      </w:r>
      <w:r w:rsidR="008344A9">
        <w:rPr>
          <w:rFonts w:ascii="Georgia" w:hAnsi="Georgia"/>
          <w:b/>
        </w:rPr>
        <w:t>alignment</w:t>
      </w:r>
      <w:r w:rsidRPr="008344A9">
        <w:rPr>
          <w:rFonts w:ascii="Georgia" w:hAnsi="Georgia"/>
          <w:b/>
        </w:rPr>
        <w:t xml:space="preserve"> to maximis</w:t>
      </w:r>
      <w:r w:rsidR="008344A9">
        <w:rPr>
          <w:rFonts w:ascii="Georgia" w:hAnsi="Georgia"/>
          <w:b/>
        </w:rPr>
        <w:t>e</w:t>
      </w:r>
      <w:r w:rsidRPr="008344A9">
        <w:rPr>
          <w:rFonts w:ascii="Georgia" w:hAnsi="Georgia"/>
          <w:b/>
        </w:rPr>
        <w:t xml:space="preserve"> GGR potential:</w:t>
      </w:r>
    </w:p>
    <w:p w14:paraId="34AF187C" w14:textId="77777777" w:rsidR="00C21C57" w:rsidRPr="008344A9" w:rsidRDefault="00C21C57" w:rsidP="00C21C57">
      <w:pPr>
        <w:pStyle w:val="ListBullet"/>
        <w:numPr>
          <w:ilvl w:val="0"/>
          <w:numId w:val="0"/>
        </w:numPr>
        <w:spacing w:after="0"/>
        <w:jc w:val="both"/>
        <w:rPr>
          <w:rFonts w:ascii="Georgia" w:hAnsi="Georgia"/>
          <w:b/>
        </w:rPr>
      </w:pPr>
    </w:p>
    <w:p w14:paraId="38DE1A39" w14:textId="54B82AE6" w:rsidR="00994643" w:rsidRPr="008344A9" w:rsidRDefault="00185195" w:rsidP="0056066B">
      <w:pPr>
        <w:pStyle w:val="ListBullet"/>
        <w:numPr>
          <w:ilvl w:val="0"/>
          <w:numId w:val="11"/>
        </w:numPr>
        <w:spacing w:after="0"/>
        <w:jc w:val="both"/>
        <w:rPr>
          <w:rFonts w:ascii="Georgia" w:hAnsi="Georgia"/>
          <w:b/>
        </w:rPr>
      </w:pPr>
      <w:r w:rsidRPr="008344A9">
        <w:rPr>
          <w:rFonts w:ascii="Georgia" w:hAnsi="Georgia"/>
          <w:b/>
        </w:rPr>
        <w:t>Helping lan</w:t>
      </w:r>
      <w:r w:rsidR="007E5FCC" w:rsidRPr="008344A9">
        <w:rPr>
          <w:rFonts w:ascii="Georgia" w:hAnsi="Georgia"/>
          <w:b/>
        </w:rPr>
        <w:t xml:space="preserve">downers/farmers deliver ‘public good’: </w:t>
      </w:r>
      <w:r w:rsidR="0056066B" w:rsidRPr="008344A9">
        <w:rPr>
          <w:rFonts w:ascii="Georgia" w:hAnsi="Georgia"/>
        </w:rPr>
        <w:t xml:space="preserve">Incentivisation </w:t>
      </w:r>
      <w:r w:rsidR="007E5FCC" w:rsidRPr="008344A9">
        <w:rPr>
          <w:rFonts w:ascii="Georgia" w:hAnsi="Georgia"/>
        </w:rPr>
        <w:t>is key to ensure the deployment of</w:t>
      </w:r>
      <w:r w:rsidR="008570A7" w:rsidRPr="008344A9">
        <w:rPr>
          <w:rFonts w:ascii="Georgia" w:hAnsi="Georgia"/>
        </w:rPr>
        <w:t xml:space="preserve"> land use change including biochar, enhanced weathering, soil carbon sequestration and agroforestry</w:t>
      </w:r>
      <w:r w:rsidR="00EB22BD">
        <w:rPr>
          <w:rFonts w:ascii="Georgia" w:hAnsi="Georgia"/>
        </w:rPr>
        <w:t>,</w:t>
      </w:r>
      <w:r w:rsidR="008570A7" w:rsidRPr="008344A9">
        <w:rPr>
          <w:rFonts w:ascii="Georgia" w:hAnsi="Georgia"/>
        </w:rPr>
        <w:t xml:space="preserve"> alongside existing food production</w:t>
      </w:r>
      <w:r w:rsidR="00D4111D" w:rsidRPr="008344A9">
        <w:rPr>
          <w:rFonts w:ascii="Georgia" w:hAnsi="Georgia"/>
        </w:rPr>
        <w:t xml:space="preserve">. </w:t>
      </w:r>
    </w:p>
    <w:p w14:paraId="77CDEBF3" w14:textId="2D447CAF" w:rsidR="00D4111D" w:rsidRPr="008344A9" w:rsidRDefault="007E5FCC" w:rsidP="0056066B">
      <w:pPr>
        <w:pStyle w:val="ListBullet"/>
        <w:numPr>
          <w:ilvl w:val="0"/>
          <w:numId w:val="11"/>
        </w:numPr>
        <w:spacing w:after="0"/>
        <w:jc w:val="both"/>
        <w:rPr>
          <w:rFonts w:ascii="Georgia" w:hAnsi="Georgia"/>
          <w:b/>
        </w:rPr>
      </w:pPr>
      <w:r w:rsidRPr="008344A9">
        <w:rPr>
          <w:rFonts w:ascii="Georgia" w:hAnsi="Georgia"/>
          <w:b/>
        </w:rPr>
        <w:t xml:space="preserve">Reinvigorating the Scottish Land Use Strategy: </w:t>
      </w:r>
      <w:r w:rsidR="00D4111D" w:rsidRPr="008344A9">
        <w:rPr>
          <w:rFonts w:ascii="Georgia" w:hAnsi="Georgia"/>
        </w:rPr>
        <w:t xml:space="preserve">GGR deployment will require a national approach to ensure land use implications are coherently managed. </w:t>
      </w:r>
      <w:r w:rsidR="00714390" w:rsidRPr="008344A9">
        <w:rPr>
          <w:rFonts w:ascii="Georgia" w:hAnsi="Georgia"/>
        </w:rPr>
        <w:t>With full political support</w:t>
      </w:r>
      <w:r w:rsidR="00477D63" w:rsidRPr="008344A9">
        <w:rPr>
          <w:rFonts w:ascii="Georgia" w:hAnsi="Georgia"/>
        </w:rPr>
        <w:t xml:space="preserve"> and effective regional delivery</w:t>
      </w:r>
      <w:r w:rsidR="00714390" w:rsidRPr="008344A9">
        <w:rPr>
          <w:rFonts w:ascii="Georgia" w:hAnsi="Georgia"/>
        </w:rPr>
        <w:t>, the existing Land Use Strategy</w:t>
      </w:r>
      <w:r w:rsidR="00477D63" w:rsidRPr="008344A9">
        <w:rPr>
          <w:rFonts w:ascii="Georgia" w:hAnsi="Georgia"/>
        </w:rPr>
        <w:t xml:space="preserve"> could provide a </w:t>
      </w:r>
      <w:r w:rsidR="00185195" w:rsidRPr="008344A9">
        <w:rPr>
          <w:rFonts w:ascii="Georgia" w:hAnsi="Georgia"/>
        </w:rPr>
        <w:t>mechanism</w:t>
      </w:r>
      <w:r w:rsidR="00477D63" w:rsidRPr="008344A9">
        <w:rPr>
          <w:rFonts w:ascii="Georgia" w:hAnsi="Georgia"/>
        </w:rPr>
        <w:t xml:space="preserve"> to deliver strategic and integrated land use and management change required</w:t>
      </w:r>
      <w:r w:rsidR="00185195" w:rsidRPr="008344A9">
        <w:rPr>
          <w:rFonts w:ascii="Georgia" w:hAnsi="Georgia"/>
        </w:rPr>
        <w:t xml:space="preserve"> to maximise GGR. </w:t>
      </w:r>
    </w:p>
    <w:p w14:paraId="05711BD5" w14:textId="3C71FC9C" w:rsidR="00185195" w:rsidRPr="006C5053" w:rsidRDefault="00C2422C" w:rsidP="0056066B">
      <w:pPr>
        <w:pStyle w:val="ListBullet"/>
        <w:numPr>
          <w:ilvl w:val="0"/>
          <w:numId w:val="11"/>
        </w:numPr>
        <w:spacing w:after="0"/>
        <w:jc w:val="both"/>
        <w:rPr>
          <w:rFonts w:ascii="Georgia" w:hAnsi="Georgia"/>
          <w:b/>
        </w:rPr>
      </w:pPr>
      <w:r w:rsidRPr="008344A9">
        <w:rPr>
          <w:rFonts w:ascii="Georgia" w:hAnsi="Georgia"/>
          <w:b/>
        </w:rPr>
        <w:t xml:space="preserve">Coordinating infrastructure planning and construction: </w:t>
      </w:r>
      <w:r w:rsidR="008344A9" w:rsidRPr="008344A9">
        <w:rPr>
          <w:rFonts w:ascii="Georgia" w:hAnsi="Georgia"/>
        </w:rPr>
        <w:t>This is particularly relevant for BECCS and DACCS, which require CO</w:t>
      </w:r>
      <w:r w:rsidR="008344A9" w:rsidRPr="008344A9">
        <w:rPr>
          <w:rFonts w:ascii="Georgia" w:hAnsi="Georgia"/>
          <w:vertAlign w:val="subscript"/>
        </w:rPr>
        <w:t xml:space="preserve">2 </w:t>
      </w:r>
      <w:r w:rsidR="008344A9" w:rsidRPr="008344A9">
        <w:rPr>
          <w:rFonts w:ascii="Georgia" w:hAnsi="Georgia"/>
        </w:rPr>
        <w:t xml:space="preserve">transport and storage infrastructure. The required infrastructure should be coordinated across BECCS, gas generation with CCS, and industrial CCS to maximise infrastructure utilisation and minimise costs.  </w:t>
      </w:r>
    </w:p>
    <w:p w14:paraId="7BF4CA67" w14:textId="7905DA89" w:rsidR="006C5053" w:rsidRDefault="006C5053" w:rsidP="006C5053">
      <w:pPr>
        <w:pStyle w:val="ListBullet"/>
        <w:numPr>
          <w:ilvl w:val="0"/>
          <w:numId w:val="0"/>
        </w:numPr>
        <w:spacing w:after="0"/>
        <w:ind w:left="680" w:hanging="340"/>
        <w:jc w:val="both"/>
        <w:rPr>
          <w:rFonts w:ascii="Georgia" w:hAnsi="Georgia"/>
          <w:b/>
        </w:rPr>
      </w:pPr>
    </w:p>
    <w:p w14:paraId="709DA331" w14:textId="6A8A7E84" w:rsidR="006C5053" w:rsidRDefault="006C5053" w:rsidP="006C5053">
      <w:pPr>
        <w:pStyle w:val="ListBullet"/>
        <w:numPr>
          <w:ilvl w:val="0"/>
          <w:numId w:val="0"/>
        </w:numPr>
        <w:spacing w:after="0"/>
        <w:ind w:left="680" w:hanging="340"/>
        <w:jc w:val="both"/>
        <w:rPr>
          <w:rFonts w:ascii="Georgia" w:hAnsi="Georgia"/>
          <w:b/>
        </w:rPr>
      </w:pPr>
    </w:p>
    <w:p w14:paraId="5E24878F" w14:textId="77777777" w:rsidR="006C5053" w:rsidRPr="008344A9" w:rsidRDefault="006C5053" w:rsidP="006C5053">
      <w:pPr>
        <w:pStyle w:val="ListBullet"/>
        <w:numPr>
          <w:ilvl w:val="0"/>
          <w:numId w:val="0"/>
        </w:numPr>
        <w:spacing w:after="0"/>
        <w:ind w:left="680" w:hanging="340"/>
        <w:jc w:val="both"/>
        <w:rPr>
          <w:rFonts w:ascii="Georgia" w:hAnsi="Georgia"/>
          <w:b/>
        </w:rPr>
      </w:pPr>
    </w:p>
    <w:p w14:paraId="1AB28D3D" w14:textId="77777777" w:rsidR="009A4C65" w:rsidRPr="004F1A88" w:rsidRDefault="009A4C65" w:rsidP="009A4C65">
      <w:pPr>
        <w:pStyle w:val="ListBullet"/>
        <w:numPr>
          <w:ilvl w:val="0"/>
          <w:numId w:val="0"/>
        </w:numPr>
        <w:spacing w:after="0"/>
        <w:ind w:left="680" w:hanging="340"/>
        <w:jc w:val="both"/>
      </w:pPr>
    </w:p>
    <w:tbl>
      <w:tblPr>
        <w:tblStyle w:val="TableGrid"/>
        <w:tblW w:w="9242" w:type="dxa"/>
        <w:tblInd w:w="113" w:type="dxa"/>
        <w:tblLook w:val="01E0" w:firstRow="1" w:lastRow="1" w:firstColumn="1" w:lastColumn="1" w:noHBand="0" w:noVBand="0"/>
      </w:tblPr>
      <w:tblGrid>
        <w:gridCol w:w="1675"/>
        <w:gridCol w:w="7567"/>
      </w:tblGrid>
      <w:tr w:rsidR="007D2083" w14:paraId="6041BA1F" w14:textId="77777777" w:rsidTr="003376B1">
        <w:tc>
          <w:tcPr>
            <w:tcW w:w="1675" w:type="dxa"/>
          </w:tcPr>
          <w:p w14:paraId="51EE657F" w14:textId="77777777" w:rsidR="007D2083" w:rsidRPr="00391E94" w:rsidRDefault="007D2083" w:rsidP="003376B1">
            <w:pPr>
              <w:pStyle w:val="Base"/>
              <w:jc w:val="right"/>
              <w:rPr>
                <w:rFonts w:ascii="Arial" w:hAnsi="Arial" w:cs="Arial"/>
                <w:b/>
              </w:rPr>
            </w:pPr>
            <w:r w:rsidRPr="00391E94">
              <w:rPr>
                <w:rFonts w:ascii="Arial" w:hAnsi="Arial" w:cs="Arial"/>
                <w:b/>
              </w:rPr>
              <w:t>Contact</w:t>
            </w:r>
          </w:p>
        </w:tc>
        <w:tc>
          <w:tcPr>
            <w:tcW w:w="7567" w:type="dxa"/>
          </w:tcPr>
          <w:p w14:paraId="41B88E8E" w14:textId="7DD9C22F" w:rsidR="007D2083" w:rsidRDefault="009A4C65" w:rsidP="003376B1">
            <w:pPr>
              <w:pStyle w:val="Base"/>
            </w:pPr>
            <w:r>
              <w:t>Lyndsey Croal, Public Affairs Manager, WWF Scotland</w:t>
            </w:r>
          </w:p>
        </w:tc>
      </w:tr>
      <w:tr w:rsidR="007D2083" w14:paraId="50554007" w14:textId="77777777" w:rsidTr="003376B1">
        <w:tc>
          <w:tcPr>
            <w:tcW w:w="1675" w:type="dxa"/>
          </w:tcPr>
          <w:p w14:paraId="548E1D9D" w14:textId="77777777" w:rsidR="007D2083" w:rsidRPr="00391E94" w:rsidRDefault="007D2083" w:rsidP="003376B1">
            <w:pPr>
              <w:pStyle w:val="Base"/>
              <w:jc w:val="right"/>
              <w:rPr>
                <w:rFonts w:ascii="Arial" w:hAnsi="Arial" w:cs="Arial"/>
                <w:b/>
              </w:rPr>
            </w:pPr>
            <w:r w:rsidRPr="00391E94">
              <w:rPr>
                <w:rFonts w:ascii="Arial" w:hAnsi="Arial" w:cs="Arial"/>
                <w:b/>
              </w:rPr>
              <w:t>Email/Tel</w:t>
            </w:r>
          </w:p>
        </w:tc>
        <w:tc>
          <w:tcPr>
            <w:tcW w:w="7567" w:type="dxa"/>
          </w:tcPr>
          <w:p w14:paraId="6B12EE84" w14:textId="023D2B7B" w:rsidR="007D2083" w:rsidRDefault="00080C8B" w:rsidP="003376B1">
            <w:pPr>
              <w:pStyle w:val="Base"/>
            </w:pPr>
            <w:hyperlink r:id="rId8" w:history="1">
              <w:r w:rsidR="009A4C65" w:rsidRPr="0050172B">
                <w:rPr>
                  <w:rStyle w:val="Hyperlink"/>
                  <w:rFonts w:ascii="Georgia" w:hAnsi="Georgia"/>
                </w:rPr>
                <w:t>lcroal@wwfscotland.org.uk</w:t>
              </w:r>
            </w:hyperlink>
            <w:r w:rsidR="009A4C65">
              <w:t xml:space="preserve"> 0131 659 9019</w:t>
            </w:r>
          </w:p>
        </w:tc>
      </w:tr>
      <w:tr w:rsidR="007D2083" w14:paraId="6DD28799" w14:textId="77777777" w:rsidTr="003376B1">
        <w:tc>
          <w:tcPr>
            <w:tcW w:w="1675" w:type="dxa"/>
          </w:tcPr>
          <w:p w14:paraId="718632F8" w14:textId="77777777" w:rsidR="007D2083" w:rsidRPr="00391E94" w:rsidRDefault="007D2083" w:rsidP="003376B1">
            <w:pPr>
              <w:pStyle w:val="Base"/>
              <w:jc w:val="right"/>
              <w:rPr>
                <w:rFonts w:ascii="Arial" w:hAnsi="Arial" w:cs="Arial"/>
                <w:b/>
              </w:rPr>
            </w:pPr>
            <w:r w:rsidRPr="00391E94">
              <w:rPr>
                <w:rFonts w:ascii="Arial" w:hAnsi="Arial" w:cs="Arial"/>
                <w:b/>
              </w:rPr>
              <w:t>Date</w:t>
            </w:r>
          </w:p>
        </w:tc>
        <w:tc>
          <w:tcPr>
            <w:tcW w:w="7567" w:type="dxa"/>
          </w:tcPr>
          <w:p w14:paraId="445E398C" w14:textId="4B377DB9" w:rsidR="007D2083" w:rsidRDefault="007D2083" w:rsidP="003376B1">
            <w:pPr>
              <w:pStyle w:val="Base"/>
            </w:pPr>
            <w:r>
              <w:fldChar w:fldCharType="begin"/>
            </w:r>
            <w:r>
              <w:instrText xml:space="preserve"> DATE  \@ "d MMMM yyyy"  \* MERGEFORMAT </w:instrText>
            </w:r>
            <w:r>
              <w:fldChar w:fldCharType="separate"/>
            </w:r>
            <w:r w:rsidR="0072455F">
              <w:rPr>
                <w:noProof/>
              </w:rPr>
              <w:t>22 January 2019</w:t>
            </w:r>
            <w:r>
              <w:fldChar w:fldCharType="end"/>
            </w:r>
          </w:p>
        </w:tc>
      </w:tr>
    </w:tbl>
    <w:p w14:paraId="0D100A7E" w14:textId="2A3BA994" w:rsidR="009A4C65" w:rsidRDefault="007D2083" w:rsidP="007D2083">
      <w:pPr>
        <w:pStyle w:val="BodyText"/>
        <w:rPr>
          <w:sz w:val="20"/>
          <w:szCs w:val="20"/>
        </w:rPr>
      </w:pPr>
      <w:r w:rsidRPr="009C3DB4">
        <w:t>1961-</w:t>
      </w:r>
      <w:r w:rsidRPr="009A4C65">
        <w:rPr>
          <w:sz w:val="20"/>
          <w:szCs w:val="20"/>
        </w:rPr>
        <w:t>2013: Over 50 years of conservation. WWF works in over a hundred countries to safeguard the natural world so that people and nature thrive.</w:t>
      </w:r>
    </w:p>
    <w:p w14:paraId="4DE56E41" w14:textId="731D6322" w:rsidR="004F4BB5" w:rsidRDefault="004F4BB5" w:rsidP="007D2083">
      <w:pPr>
        <w:pStyle w:val="BodyText"/>
        <w:rPr>
          <w:sz w:val="20"/>
          <w:szCs w:val="20"/>
        </w:rPr>
      </w:pPr>
    </w:p>
    <w:p w14:paraId="49710C08" w14:textId="10E77257" w:rsidR="00906A38" w:rsidRDefault="00906A38" w:rsidP="007D2083">
      <w:pPr>
        <w:pStyle w:val="BodyText"/>
        <w:rPr>
          <w:sz w:val="20"/>
          <w:szCs w:val="20"/>
        </w:rPr>
      </w:pPr>
    </w:p>
    <w:p w14:paraId="371466FC" w14:textId="7D2071F2" w:rsidR="004F4BB5" w:rsidRDefault="004F4BB5" w:rsidP="007D2083">
      <w:pPr>
        <w:pStyle w:val="BodyText"/>
        <w:rPr>
          <w:sz w:val="20"/>
          <w:szCs w:val="20"/>
        </w:rPr>
      </w:pPr>
    </w:p>
    <w:p w14:paraId="60C04EF1" w14:textId="77777777" w:rsidR="00FA08C7" w:rsidRDefault="00FA08C7" w:rsidP="007D2083">
      <w:pPr>
        <w:pStyle w:val="BodyText"/>
        <w:rPr>
          <w:sz w:val="20"/>
          <w:szCs w:val="20"/>
        </w:rPr>
      </w:pPr>
      <w:bookmarkStart w:id="0" w:name="_GoBack"/>
      <w:bookmarkEnd w:id="0"/>
    </w:p>
    <w:p w14:paraId="24952C3C" w14:textId="77777777" w:rsidR="00906A38" w:rsidRDefault="00906A38" w:rsidP="007D2083">
      <w:pPr>
        <w:pStyle w:val="BodyText"/>
        <w:rPr>
          <w:sz w:val="20"/>
          <w:szCs w:val="20"/>
        </w:rPr>
      </w:pPr>
    </w:p>
    <w:p w14:paraId="748A1FC0" w14:textId="56EAE996" w:rsidR="00B63BAB" w:rsidRDefault="00B63BAB" w:rsidP="007D2083">
      <w:pPr>
        <w:pStyle w:val="BodyText"/>
        <w:rPr>
          <w:rStyle w:val="Hyperlink"/>
        </w:rPr>
      </w:pPr>
      <w:r>
        <w:rPr>
          <w:rStyle w:val="Hyperlink"/>
        </w:rPr>
        <w:lastRenderedPageBreak/>
        <w:t>Appendix 1</w:t>
      </w:r>
    </w:p>
    <w:p w14:paraId="5716C457" w14:textId="56C02593" w:rsidR="00B63BAB" w:rsidRDefault="00B63BAB" w:rsidP="007D2083">
      <w:pPr>
        <w:pStyle w:val="BodyText"/>
        <w:rPr>
          <w:rStyle w:val="Hyperlink"/>
        </w:rPr>
      </w:pPr>
      <w:r w:rsidRPr="00791D89">
        <w:rPr>
          <w:b/>
          <w:noProof/>
        </w:rPr>
        <mc:AlternateContent>
          <mc:Choice Requires="wps">
            <w:drawing>
              <wp:inline distT="0" distB="0" distL="0" distR="0" wp14:anchorId="246E6460" wp14:editId="3B4E03C1">
                <wp:extent cx="5731510" cy="4332681"/>
                <wp:effectExtent l="0" t="0" r="2540" b="5080"/>
                <wp:docPr id="3" name="Text Box 3"/>
                <wp:cNvGraphicFramePr/>
                <a:graphic xmlns:a="http://schemas.openxmlformats.org/drawingml/2006/main">
                  <a:graphicData uri="http://schemas.microsoft.com/office/word/2010/wordprocessingShape">
                    <wps:wsp>
                      <wps:cNvSpPr txBox="1"/>
                      <wps:spPr>
                        <a:xfrm>
                          <a:off x="0" y="0"/>
                          <a:ext cx="5731510" cy="4332681"/>
                        </a:xfrm>
                        <a:prstGeom prst="rect">
                          <a:avLst/>
                        </a:prstGeom>
                        <a:solidFill>
                          <a:schemeClr val="accent3"/>
                        </a:solidFill>
                        <a:ln w="6350">
                          <a:noFill/>
                        </a:ln>
                      </wps:spPr>
                      <wps:txbx>
                        <w:txbxContent>
                          <w:p w14:paraId="44CBD4A8" w14:textId="77777777" w:rsidR="00B63BAB" w:rsidRPr="00664B2A" w:rsidRDefault="00B63BAB" w:rsidP="00B63BAB">
                            <w:pPr>
                              <w:pStyle w:val="BoxCaption"/>
                              <w:rPr>
                                <w:b/>
                              </w:rPr>
                            </w:pPr>
                            <w:bookmarkStart w:id="1" w:name="_Toc530483914"/>
                            <w:r w:rsidRPr="00664B2A">
                              <w:rPr>
                                <w:b/>
                              </w:rPr>
                              <w:t xml:space="preserve">Box </w:t>
                            </w:r>
                            <w:r w:rsidRPr="00664B2A">
                              <w:rPr>
                                <w:b/>
                                <w:noProof/>
                              </w:rPr>
                              <w:fldChar w:fldCharType="begin"/>
                            </w:r>
                            <w:r w:rsidRPr="00664B2A">
                              <w:rPr>
                                <w:b/>
                                <w:noProof/>
                              </w:rPr>
                              <w:instrText xml:space="preserve"> SEQ Box \* ARABIC </w:instrText>
                            </w:r>
                            <w:r w:rsidRPr="00664B2A">
                              <w:rPr>
                                <w:b/>
                                <w:noProof/>
                              </w:rPr>
                              <w:fldChar w:fldCharType="separate"/>
                            </w:r>
                            <w:r w:rsidRPr="00664B2A">
                              <w:rPr>
                                <w:b/>
                                <w:noProof/>
                              </w:rPr>
                              <w:t>1</w:t>
                            </w:r>
                            <w:r w:rsidRPr="00664B2A">
                              <w:rPr>
                                <w:b/>
                                <w:noProof/>
                              </w:rPr>
                              <w:fldChar w:fldCharType="end"/>
                            </w:r>
                            <w:r w:rsidRPr="00664B2A">
                              <w:rPr>
                                <w:b/>
                              </w:rPr>
                              <w:t>.</w:t>
                            </w:r>
                            <w:r w:rsidRPr="00664B2A">
                              <w:rPr>
                                <w:b/>
                              </w:rPr>
                              <w:tab/>
                            </w:r>
                            <w:sdt>
                              <w:sdtPr>
                                <w:rPr>
                                  <w:b/>
                                </w:rPr>
                                <w:id w:val="-1451154112"/>
                                <w:text/>
                              </w:sdtPr>
                              <w:sdtEndPr/>
                              <w:sdtContent>
                                <w:r w:rsidRPr="00664B2A">
                                  <w:rPr>
                                    <w:b/>
                                  </w:rPr>
                                  <w:t>Land use implications of large scale GGR in Scotland</w:t>
                                </w:r>
                              </w:sdtContent>
                            </w:sdt>
                            <w:bookmarkEnd w:id="1"/>
                          </w:p>
                          <w:p w14:paraId="5AAA1BA7" w14:textId="77777777" w:rsidR="00B63BAB" w:rsidRDefault="00B63BAB" w:rsidP="00B63BAB">
                            <w:pPr>
                              <w:pStyle w:val="BoxBullet"/>
                            </w:pPr>
                            <w:r>
                              <w:t xml:space="preserve">Scotland currently uses 5.6 </w:t>
                            </w:r>
                            <w:proofErr w:type="spellStart"/>
                            <w:r>
                              <w:t>Mha</w:t>
                            </w:r>
                            <w:proofErr w:type="spellEnd"/>
                            <w:r>
                              <w:t xml:space="preserve"> for agriculture. </w:t>
                            </w:r>
                            <w:r w:rsidRPr="00FF72A2">
                              <w:t xml:space="preserve">By 2050, BECCS and biochar will require a combined 0.2-0.4 </w:t>
                            </w:r>
                            <w:proofErr w:type="spellStart"/>
                            <w:r w:rsidRPr="00FF72A2">
                              <w:t>Mha</w:t>
                            </w:r>
                            <w:proofErr w:type="spellEnd"/>
                            <w:r>
                              <w:t xml:space="preserve">, and </w:t>
                            </w:r>
                            <w:r w:rsidRPr="00FF72A2">
                              <w:t>afforestation</w:t>
                            </w:r>
                            <w:r>
                              <w:t xml:space="preserve"> will require around 0.5 </w:t>
                            </w:r>
                            <w:proofErr w:type="spellStart"/>
                            <w:r>
                              <w:t>Mha</w:t>
                            </w:r>
                            <w:proofErr w:type="spellEnd"/>
                            <w:r>
                              <w:t>.</w:t>
                            </w:r>
                          </w:p>
                          <w:p w14:paraId="4AF3C1B7" w14:textId="77777777" w:rsidR="00B63BAB" w:rsidRDefault="00B63BAB" w:rsidP="00B63BAB">
                            <w:pPr>
                              <w:pStyle w:val="BoxBullet"/>
                            </w:pPr>
                            <w:r w:rsidRPr="00FF72A2">
                              <w:t xml:space="preserve">Scotland has 0.2 </w:t>
                            </w:r>
                            <w:proofErr w:type="spellStart"/>
                            <w:r w:rsidRPr="00FF72A2">
                              <w:t>Mha</w:t>
                            </w:r>
                            <w:proofErr w:type="spellEnd"/>
                            <w:r w:rsidRPr="00FF72A2">
                              <w:t xml:space="preserve"> of land marginally suited for short rotation coppice (SCP) which can be used</w:t>
                            </w:r>
                            <w:r>
                              <w:t xml:space="preserve"> for GGR </w:t>
                            </w:r>
                            <w:r w:rsidRPr="00B45585">
                              <w:fldChar w:fldCharType="begin" w:fldLock="1"/>
                            </w:r>
                            <w:r w:rsidRPr="00B45585">
                              <w:instrText>ADDIN CSL_CITATION {"citationItems":[{"id":"ITEM-1","itemData":{"author":[{"dropping-particle":"","family":"Alcade","given":"Juan","non-dropping-particle":"","parse-names":false,"suffix":""},{"dropping-particle":"","family":"Smith","given":"Pete","non-dropping-particle":"","parse-names":false,"suffix":""},{"dropping-particle":"","family":"Hazeldine","given":"Stuart","non-dropping-particle":"","parse-names":false,"suffix":""},{"dropping-particle":"","family":"Bond","given":"Clare","non-dropping-particle":"","parse-names":false,"suffix":""}],"container-title":"International Journal of Greenhouse Gas Control","id":"ITEM-1","issued":{"date-parts":[["2018"]]},"page":"85-91","title":"The potential for implementation of negative emissions technologies in Scotland","type":"article-journal","volume":"76"},"uris":["http://www.mendeley.com/documents/?uuid=f4273b60-f893-4c22-85a7-f042196dba52"]}],"mendeley":{"formattedCitation":"(Alcade et al., 2018)","plainTextFormattedCitation":"(Alcade et al., 2018)","previouslyFormattedCitation":"(Alcade et al., 2018)"},"properties":{"noteIndex":0},"schema":"https://github.com/citation-style-language/schema/raw/master/csl-citation.json"}</w:instrText>
                            </w:r>
                            <w:r w:rsidRPr="00B45585">
                              <w:fldChar w:fldCharType="separate"/>
                            </w:r>
                            <w:r w:rsidRPr="00B45585">
                              <w:rPr>
                                <w:noProof/>
                              </w:rPr>
                              <w:t>(Alcade et al., 2018)</w:t>
                            </w:r>
                            <w:r w:rsidRPr="00B45585">
                              <w:fldChar w:fldCharType="end"/>
                            </w:r>
                            <w:r>
                              <w:t>. Furthermore, agroforestry could reduce the land requirement for afforest</w:t>
                            </w:r>
                            <w:r w:rsidRPr="008D1EEB">
                              <w:t xml:space="preserve">ation </w:t>
                            </w:r>
                            <w:r w:rsidRPr="0097772C">
                              <w:t xml:space="preserve">up to 0.1 </w:t>
                            </w:r>
                            <w:proofErr w:type="spellStart"/>
                            <w:r w:rsidRPr="0097772C">
                              <w:t>Mha</w:t>
                            </w:r>
                            <w:proofErr w:type="spellEnd"/>
                            <w:r w:rsidRPr="008D1EEB">
                              <w:t>, minimising</w:t>
                            </w:r>
                            <w:r w:rsidRPr="00FF72A2">
                              <w:t xml:space="preserve"> competition with agriculture</w:t>
                            </w:r>
                            <w:r>
                              <w:t xml:space="preserve"> </w:t>
                            </w:r>
                            <w:r w:rsidRPr="00B45585">
                              <w:t>(CCC, 2018a)</w:t>
                            </w:r>
                            <w:r w:rsidRPr="00FF72A2">
                              <w:t>.</w:t>
                            </w:r>
                          </w:p>
                          <w:p w14:paraId="045B607A" w14:textId="77777777" w:rsidR="00B63BAB" w:rsidRDefault="00B63BAB" w:rsidP="00B63BAB">
                            <w:pPr>
                              <w:pStyle w:val="BoxBullet"/>
                            </w:pPr>
                            <w:r w:rsidRPr="003D581F">
                              <w:t xml:space="preserve">Overall agricultural production can increase despite GGR deployment, as </w:t>
                            </w:r>
                            <w:r w:rsidRPr="006D3F45">
                              <w:t>agricultural productivity improvements</w:t>
                            </w:r>
                            <w:r w:rsidRPr="002E5BF4">
                              <w:t xml:space="preserve"> from </w:t>
                            </w:r>
                            <w:r>
                              <w:t>the</w:t>
                            </w:r>
                            <w:r w:rsidRPr="003D581F">
                              <w:t xml:space="preserve"> wider agricultural strategy </w:t>
                            </w:r>
                            <w:r w:rsidRPr="003D581F">
                              <w:fldChar w:fldCharType="begin" w:fldLock="1"/>
                            </w:r>
                            <w:r w:rsidRPr="00251C3D">
                              <w:instrText>ADDIN CSL_CITATION {"citationItems":[{"id":"ITEM-1","itemData":{"author":[{"dropping-particle":"","family":"National Farmers Union Scotland","given":"","non-dropping-particle":"","parse-names":false,"suffix":""}],"id":"ITEM-1","issued":{"date-parts":[["2018"]]},"title":"Steps to Change: A new agricultural policy for Scotland","type":"report"},"uris":["http://www.mendeley.com/documents/?uuid=1ce2ecac-7127-43f1-a86b-cf47f14ed55a"]}],"mendeley":{"formattedCitation":"(National Farmers Union Scotland, 2018)","plainTextFormattedCitation":"(National Farmers Union Scotland, 2018)","previouslyFormattedCitation":"(National Farmers Union Scotland, 2018)"},"properties":{"noteIndex":0},"schema":"https://github.com/citation-style-language/schema/raw/master/csl-citation.json"}</w:instrText>
                            </w:r>
                            <w:r w:rsidRPr="003D581F">
                              <w:fldChar w:fldCharType="separate"/>
                            </w:r>
                            <w:r w:rsidRPr="003D581F">
                              <w:rPr>
                                <w:noProof/>
                              </w:rPr>
                              <w:t>(National Farmers Union Scotland, 2018)</w:t>
                            </w:r>
                            <w:r w:rsidRPr="003D581F">
                              <w:fldChar w:fldCharType="end"/>
                            </w:r>
                            <w:r w:rsidRPr="003D581F">
                              <w:t xml:space="preserve"> and associated with some GGR practises </w:t>
                            </w:r>
                            <w:r w:rsidRPr="003D581F">
                              <w:fldChar w:fldCharType="begin" w:fldLock="1"/>
                            </w:r>
                            <w:r w:rsidRPr="00251C3D">
                              <w:instrText>ADDIN CSL_CITATION {"citationItems":[{"id":"ITEM-1","itemData":{"author":[{"dropping-particle":"","family":"The Royal Society","given":"","non-dropping-particle":"","parse-names":false,"suffix":""},{"dropping-particle":"","family":"Royal Academy of Engineering","given":"","non-dropping-particle":"","parse-names":false,"suffix":""}],"id":"ITEM-1","issued":{"date-parts":[["2018"]]},"title":"Greenhouse gas removal","type":"report"},"uris":["http://www.mendeley.com/documents/?uuid=ac328550-32c6-4e0b-bfa3-463065d95b55"]}],"mendeley":{"formattedCitation":"(The Royal Society &amp; Royal Academy of Engineering, 2018)","plainTextFormattedCitation":"(The Royal Society &amp; Royal Academy of Engineering, 2018)","previouslyFormattedCitation":"(The Royal Society &amp; Royal Academy of Engineering, 2018)"},"properties":{"noteIndex":0},"schema":"https://github.com/citation-style-language/schema/raw/master/csl-citation.json"}</w:instrText>
                            </w:r>
                            <w:r w:rsidRPr="003D581F">
                              <w:fldChar w:fldCharType="separate"/>
                            </w:r>
                            <w:r w:rsidRPr="003D581F">
                              <w:rPr>
                                <w:noProof/>
                              </w:rPr>
                              <w:t>(The Royal Society &amp; Royal Academy of Engineering, 2018)</w:t>
                            </w:r>
                            <w:r w:rsidRPr="003D581F">
                              <w:fldChar w:fldCharType="end"/>
                            </w:r>
                            <w:r>
                              <w:t xml:space="preserve"> are expected to outweigh reductions in agricultural land </w:t>
                            </w:r>
                            <w:r w:rsidRPr="003D581F">
                              <w:t>(CCC, 2018a)</w:t>
                            </w:r>
                            <w:r>
                              <w:t xml:space="preserve">. </w:t>
                            </w:r>
                          </w:p>
                          <w:tbl>
                            <w:tblPr>
                              <w:tblStyle w:val="VETableDefault"/>
                              <w:tblW w:w="0" w:type="auto"/>
                              <w:tblInd w:w="279" w:type="dxa"/>
                              <w:tblLook w:val="04A0" w:firstRow="1" w:lastRow="0" w:firstColumn="1" w:lastColumn="0" w:noHBand="0" w:noVBand="1"/>
                            </w:tblPr>
                            <w:tblGrid>
                              <w:gridCol w:w="1401"/>
                              <w:gridCol w:w="1239"/>
                              <w:gridCol w:w="1222"/>
                              <w:gridCol w:w="4639"/>
                            </w:tblGrid>
                            <w:tr w:rsidR="00B63BAB" w14:paraId="1775317A" w14:textId="77777777" w:rsidTr="00664B2A">
                              <w:trPr>
                                <w:cnfStyle w:val="100000000000" w:firstRow="1" w:lastRow="0" w:firstColumn="0" w:lastColumn="0" w:oddVBand="0" w:evenVBand="0" w:oddHBand="0" w:evenHBand="0" w:firstRowFirstColumn="0" w:firstRowLastColumn="0" w:lastRowFirstColumn="0" w:lastRowLastColumn="0"/>
                                <w:trHeight w:val="453"/>
                              </w:trPr>
                              <w:tc>
                                <w:tcPr>
                                  <w:tcW w:w="0" w:type="dxa"/>
                                </w:tcPr>
                                <w:p w14:paraId="4090D760" w14:textId="77777777" w:rsidR="00B63BAB" w:rsidRDefault="00B63BAB" w:rsidP="00F17D51">
                                  <w:pPr>
                                    <w:pStyle w:val="BoxBullet"/>
                                    <w:numPr>
                                      <w:ilvl w:val="0"/>
                                      <w:numId w:val="0"/>
                                    </w:numPr>
                                    <w:spacing w:after="120" w:line="260" w:lineRule="atLeast"/>
                                  </w:pPr>
                                  <w:r>
                                    <w:t>GGR</w:t>
                                  </w:r>
                                </w:p>
                              </w:tc>
                              <w:tc>
                                <w:tcPr>
                                  <w:tcW w:w="1276" w:type="dxa"/>
                                </w:tcPr>
                                <w:p w14:paraId="0FA35A6A" w14:textId="77777777" w:rsidR="00B63BAB" w:rsidRDefault="00B63BAB" w:rsidP="00F17D51">
                                  <w:pPr>
                                    <w:pStyle w:val="BoxBullet"/>
                                    <w:numPr>
                                      <w:ilvl w:val="0"/>
                                      <w:numId w:val="0"/>
                                    </w:numPr>
                                    <w:spacing w:after="120" w:line="260" w:lineRule="atLeast"/>
                                  </w:pPr>
                                  <w:r>
                                    <w:t>Total land required (</w:t>
                                  </w:r>
                                  <w:proofErr w:type="spellStart"/>
                                  <w:r>
                                    <w:t>Mha</w:t>
                                  </w:r>
                                  <w:proofErr w:type="spellEnd"/>
                                  <w:r>
                                    <w:t>)</w:t>
                                  </w:r>
                                </w:p>
                              </w:tc>
                              <w:tc>
                                <w:tcPr>
                                  <w:tcW w:w="1276" w:type="dxa"/>
                                </w:tcPr>
                                <w:p w14:paraId="08D05480" w14:textId="77777777" w:rsidR="00B63BAB" w:rsidRPr="00B45585" w:rsidRDefault="00B63BAB" w:rsidP="00F17D51">
                                  <w:pPr>
                                    <w:pStyle w:val="BoxBullet"/>
                                    <w:numPr>
                                      <w:ilvl w:val="0"/>
                                      <w:numId w:val="0"/>
                                    </w:numPr>
                                    <w:spacing w:after="120" w:line="260" w:lineRule="atLeast"/>
                                  </w:pPr>
                                  <w:r>
                                    <w:t>Annual MtCO</w:t>
                                  </w:r>
                                  <w:r>
                                    <w:rPr>
                                      <w:vertAlign w:val="subscript"/>
                                    </w:rPr>
                                    <w:t>2</w:t>
                                  </w:r>
                                  <w:r>
                                    <w:t xml:space="preserve"> abated</w:t>
                                  </w:r>
                                </w:p>
                              </w:tc>
                              <w:tc>
                                <w:tcPr>
                                  <w:tcW w:w="0" w:type="dxa"/>
                                </w:tcPr>
                                <w:p w14:paraId="3B466A9F" w14:textId="77777777" w:rsidR="00B63BAB" w:rsidRDefault="00B63BAB" w:rsidP="00F17D51">
                                  <w:pPr>
                                    <w:pStyle w:val="BoxBullet"/>
                                    <w:numPr>
                                      <w:ilvl w:val="0"/>
                                      <w:numId w:val="0"/>
                                    </w:numPr>
                                    <w:spacing w:after="120" w:line="260" w:lineRule="atLeast"/>
                                  </w:pPr>
                                  <w:r>
                                    <w:t>Notes</w:t>
                                  </w:r>
                                </w:p>
                              </w:tc>
                            </w:tr>
                            <w:tr w:rsidR="00B63BAB" w14:paraId="2A76A73D" w14:textId="77777777" w:rsidTr="00664B2A">
                              <w:trPr>
                                <w:cnfStyle w:val="000000100000" w:firstRow="0" w:lastRow="0" w:firstColumn="0" w:lastColumn="0" w:oddVBand="0" w:evenVBand="0" w:oddHBand="1" w:evenHBand="0" w:firstRowFirstColumn="0" w:firstRowLastColumn="0" w:lastRowFirstColumn="0" w:lastRowLastColumn="0"/>
                                <w:trHeight w:val="352"/>
                              </w:trPr>
                              <w:tc>
                                <w:tcPr>
                                  <w:tcW w:w="0" w:type="dxa"/>
                                </w:tcPr>
                                <w:p w14:paraId="05F7D563" w14:textId="77777777" w:rsidR="00B63BAB" w:rsidRDefault="00B63BAB" w:rsidP="00F17D51">
                                  <w:pPr>
                                    <w:pStyle w:val="BoxBullet"/>
                                    <w:numPr>
                                      <w:ilvl w:val="0"/>
                                      <w:numId w:val="0"/>
                                    </w:numPr>
                                    <w:spacing w:after="120" w:line="260" w:lineRule="atLeast"/>
                                  </w:pPr>
                                  <w:r>
                                    <w:t>BECCS</w:t>
                                  </w:r>
                                </w:p>
                              </w:tc>
                              <w:tc>
                                <w:tcPr>
                                  <w:tcW w:w="1276" w:type="dxa"/>
                                </w:tcPr>
                                <w:p w14:paraId="0FC1F60F" w14:textId="77777777" w:rsidR="00B63BAB" w:rsidRDefault="00B63BAB" w:rsidP="00B63BAB">
                                  <w:pPr>
                                    <w:pStyle w:val="BoxBullet"/>
                                    <w:numPr>
                                      <w:ilvl w:val="1"/>
                                      <w:numId w:val="8"/>
                                    </w:numPr>
                                    <w:spacing w:after="120" w:line="260" w:lineRule="atLeast"/>
                                  </w:pPr>
                                  <w:r>
                                    <w:t xml:space="preserve">0.2 </w:t>
                                  </w:r>
                                </w:p>
                              </w:tc>
                              <w:tc>
                                <w:tcPr>
                                  <w:tcW w:w="1276" w:type="dxa"/>
                                </w:tcPr>
                                <w:p w14:paraId="1F094EAE" w14:textId="77777777" w:rsidR="00B63BAB" w:rsidRDefault="00B63BAB" w:rsidP="00F17D51">
                                  <w:pPr>
                                    <w:pStyle w:val="BoxBullet"/>
                                    <w:numPr>
                                      <w:ilvl w:val="0"/>
                                      <w:numId w:val="0"/>
                                    </w:numPr>
                                    <w:spacing w:after="120" w:line="260" w:lineRule="atLeast"/>
                                  </w:pPr>
                                  <w:r>
                                    <w:t>4.4</w:t>
                                  </w:r>
                                </w:p>
                              </w:tc>
                              <w:tc>
                                <w:tcPr>
                                  <w:tcW w:w="5143" w:type="dxa"/>
                                </w:tcPr>
                                <w:p w14:paraId="431C29A6" w14:textId="77777777" w:rsidR="00B63BAB" w:rsidRDefault="00B63BAB" w:rsidP="00F17D51">
                                  <w:pPr>
                                    <w:pStyle w:val="BoxBullet"/>
                                    <w:numPr>
                                      <w:ilvl w:val="0"/>
                                      <w:numId w:val="0"/>
                                    </w:numPr>
                                    <w:spacing w:after="120" w:line="260" w:lineRule="atLeast"/>
                                  </w:pPr>
                                  <w:r>
                                    <w:t xml:space="preserve">All biomass for BECCS in Scotland is sourced from Scotland. </w:t>
                                  </w:r>
                                </w:p>
                              </w:tc>
                            </w:tr>
                            <w:tr w:rsidR="00B63BAB" w14:paraId="6556B027" w14:textId="77777777" w:rsidTr="00664B2A">
                              <w:trPr>
                                <w:trHeight w:val="339"/>
                              </w:trPr>
                              <w:tc>
                                <w:tcPr>
                                  <w:tcW w:w="0" w:type="dxa"/>
                                </w:tcPr>
                                <w:p w14:paraId="24FA9226" w14:textId="77777777" w:rsidR="00B63BAB" w:rsidRDefault="00B63BAB" w:rsidP="00F17D51">
                                  <w:pPr>
                                    <w:pStyle w:val="BoxBullet"/>
                                    <w:numPr>
                                      <w:ilvl w:val="0"/>
                                      <w:numId w:val="0"/>
                                    </w:numPr>
                                    <w:spacing w:after="120" w:line="260" w:lineRule="atLeast"/>
                                  </w:pPr>
                                  <w:r>
                                    <w:t>Biochar</w:t>
                                  </w:r>
                                </w:p>
                              </w:tc>
                              <w:tc>
                                <w:tcPr>
                                  <w:tcW w:w="1276" w:type="dxa"/>
                                </w:tcPr>
                                <w:p w14:paraId="3BC57E1E" w14:textId="77777777" w:rsidR="00B63BAB" w:rsidRDefault="00B63BAB" w:rsidP="00F17D51">
                                  <w:pPr>
                                    <w:pStyle w:val="BoxBullet"/>
                                    <w:numPr>
                                      <w:ilvl w:val="0"/>
                                      <w:numId w:val="0"/>
                                    </w:numPr>
                                    <w:spacing w:after="120" w:line="260" w:lineRule="atLeast"/>
                                  </w:pPr>
                                  <w:r>
                                    <w:t xml:space="preserve">0.1-0.2 </w:t>
                                  </w:r>
                                </w:p>
                              </w:tc>
                              <w:tc>
                                <w:tcPr>
                                  <w:tcW w:w="1276" w:type="dxa"/>
                                </w:tcPr>
                                <w:p w14:paraId="22841539" w14:textId="77777777" w:rsidR="00B63BAB" w:rsidRPr="00F424EB" w:rsidRDefault="00B63BAB" w:rsidP="00F17D51">
                                  <w:pPr>
                                    <w:pStyle w:val="BoxBullet"/>
                                    <w:numPr>
                                      <w:ilvl w:val="0"/>
                                      <w:numId w:val="0"/>
                                    </w:numPr>
                                    <w:spacing w:after="120" w:line="260" w:lineRule="atLeast"/>
                                  </w:pPr>
                                  <w:r>
                                    <w:t>3.2</w:t>
                                  </w:r>
                                </w:p>
                              </w:tc>
                              <w:tc>
                                <w:tcPr>
                                  <w:tcW w:w="0" w:type="dxa"/>
                                </w:tcPr>
                                <w:p w14:paraId="402EFAC2" w14:textId="77777777" w:rsidR="00B63BAB" w:rsidRDefault="00B63BAB" w:rsidP="00F17D51">
                                  <w:pPr>
                                    <w:pStyle w:val="BoxBullet"/>
                                    <w:numPr>
                                      <w:ilvl w:val="0"/>
                                      <w:numId w:val="0"/>
                                    </w:numPr>
                                    <w:spacing w:after="120" w:line="260" w:lineRule="atLeast"/>
                                  </w:pPr>
                                  <w:r>
                                    <w:t>All</w:t>
                                  </w:r>
                                  <w:r w:rsidRPr="00F424EB">
                                    <w:t xml:space="preserve"> bio</w:t>
                                  </w:r>
                                  <w:r>
                                    <w:t>char</w:t>
                                  </w:r>
                                  <w:r w:rsidRPr="00F424EB">
                                    <w:t xml:space="preserve"> is sourced from Scotland.</w:t>
                                  </w:r>
                                </w:p>
                              </w:tc>
                            </w:tr>
                            <w:tr w:rsidR="00B63BAB" w14:paraId="5AFC3CAD" w14:textId="77777777" w:rsidTr="00664B2A">
                              <w:trPr>
                                <w:cnfStyle w:val="000000100000" w:firstRow="0" w:lastRow="0" w:firstColumn="0" w:lastColumn="0" w:oddVBand="0" w:evenVBand="0" w:oddHBand="1" w:evenHBand="0" w:firstRowFirstColumn="0" w:firstRowLastColumn="0" w:lastRowFirstColumn="0" w:lastRowLastColumn="0"/>
                                <w:trHeight w:val="207"/>
                              </w:trPr>
                              <w:tc>
                                <w:tcPr>
                                  <w:tcW w:w="0" w:type="dxa"/>
                                </w:tcPr>
                                <w:p w14:paraId="49B0B38A" w14:textId="77777777" w:rsidR="00B63BAB" w:rsidRDefault="00B63BAB" w:rsidP="00F17D51">
                                  <w:pPr>
                                    <w:pStyle w:val="BoxBullet"/>
                                    <w:numPr>
                                      <w:ilvl w:val="0"/>
                                      <w:numId w:val="0"/>
                                    </w:numPr>
                                    <w:spacing w:after="120" w:line="260" w:lineRule="atLeast"/>
                                  </w:pPr>
                                  <w:r>
                                    <w:t>Afforestation</w:t>
                                  </w:r>
                                </w:p>
                              </w:tc>
                              <w:tc>
                                <w:tcPr>
                                  <w:tcW w:w="1276" w:type="dxa"/>
                                </w:tcPr>
                                <w:p w14:paraId="1AE49A24" w14:textId="77777777" w:rsidR="00B63BAB" w:rsidRDefault="00B63BAB" w:rsidP="00F17D51">
                                  <w:pPr>
                                    <w:pStyle w:val="BoxBullet"/>
                                    <w:numPr>
                                      <w:ilvl w:val="0"/>
                                      <w:numId w:val="0"/>
                                    </w:numPr>
                                    <w:spacing w:after="120" w:line="260" w:lineRule="atLeast"/>
                                  </w:pPr>
                                  <w:r>
                                    <w:t>0.4-0.5</w:t>
                                  </w:r>
                                </w:p>
                              </w:tc>
                              <w:tc>
                                <w:tcPr>
                                  <w:tcW w:w="1276" w:type="dxa"/>
                                </w:tcPr>
                                <w:p w14:paraId="4EFA04DC" w14:textId="77777777" w:rsidR="00B63BAB" w:rsidRDefault="00B63BAB" w:rsidP="00F17D51">
                                  <w:pPr>
                                    <w:pStyle w:val="BoxBullet"/>
                                    <w:numPr>
                                      <w:ilvl w:val="0"/>
                                      <w:numId w:val="0"/>
                                    </w:numPr>
                                    <w:spacing w:after="120" w:line="260" w:lineRule="atLeast"/>
                                  </w:pPr>
                                  <w:r>
                                    <w:t>6.0</w:t>
                                  </w:r>
                                </w:p>
                              </w:tc>
                              <w:tc>
                                <w:tcPr>
                                  <w:tcW w:w="5143" w:type="dxa"/>
                                </w:tcPr>
                                <w:p w14:paraId="68994516" w14:textId="77777777" w:rsidR="00B63BAB" w:rsidRDefault="00B63BAB" w:rsidP="00F17D51">
                                  <w:pPr>
                                    <w:pStyle w:val="BoxBullet"/>
                                    <w:numPr>
                                      <w:ilvl w:val="0"/>
                                      <w:numId w:val="0"/>
                                    </w:numPr>
                                    <w:spacing w:after="120" w:line="260" w:lineRule="atLeast"/>
                                  </w:pPr>
                                  <w:r>
                                    <w:t xml:space="preserve">This assumes planting rate of 16,000 ha/a as per </w:t>
                                  </w:r>
                                  <w:r w:rsidRPr="00826C4A">
                                    <w:t>CCC</w:t>
                                  </w:r>
                                  <w:r>
                                    <w:t xml:space="preserve"> (</w:t>
                                  </w:r>
                                  <w:r w:rsidRPr="00826C4A">
                                    <w:t>2017)</w:t>
                                  </w:r>
                                  <w:r>
                                    <w:t>. Agroforestry could reduce required planting rates (of forests) by around</w:t>
                                  </w:r>
                                  <w:r w:rsidRPr="008D1EEB">
                                    <w:t xml:space="preserve"> </w:t>
                                  </w:r>
                                  <w:r w:rsidRPr="0097772C">
                                    <w:t>2,000</w:t>
                                  </w:r>
                                  <w:r>
                                    <w:t xml:space="preserve">-3000 </w:t>
                                  </w:r>
                                  <w:r w:rsidRPr="0097772C">
                                    <w:t>ha/a</w:t>
                                  </w:r>
                                  <w:r w:rsidRPr="00961431">
                                    <w:t>.</w:t>
                                  </w:r>
                                </w:p>
                              </w:tc>
                            </w:tr>
                          </w:tbl>
                          <w:p w14:paraId="19B090F7" w14:textId="77777777" w:rsidR="00B63BAB" w:rsidRDefault="00B63BAB" w:rsidP="00B63BAB">
                            <w:pPr>
                              <w:pStyle w:val="BoxBullet"/>
                              <w:numPr>
                                <w:ilvl w:val="0"/>
                                <w:numId w:val="0"/>
                              </w:numPr>
                              <w:spacing w:after="120" w:line="260" w:lineRule="atLeast"/>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spAutoFit/>
                      </wps:bodyPr>
                    </wps:wsp>
                  </a:graphicData>
                </a:graphic>
              </wp:inline>
            </w:drawing>
          </mc:Choice>
          <mc:Fallback>
            <w:pict>
              <v:shapetype w14:anchorId="246E6460" id="_x0000_t202" coordsize="21600,21600" o:spt="202" path="m,l,21600r21600,l21600,xe">
                <v:stroke joinstyle="miter"/>
                <v:path gradientshapeok="t" o:connecttype="rect"/>
              </v:shapetype>
              <v:shape id="Text Box 3" o:spid="_x0000_s1026" type="#_x0000_t202" style="width:451.3pt;height:3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" fillcolor="#9bbb59 [3206]" stroked="f" strokeweight=".5pt">
                <v:textbox style="mso-fit-shape-to-text:t" inset="2mm,2mm,2mm,2mm">
                  <w:txbxContent>
                    <w:p w14:paraId="44CBD4A8" w14:textId="77777777" w:rsidR="00B63BAB" w:rsidRPr="00664B2A" w:rsidRDefault="00B63BAB" w:rsidP="00B63BAB">
                      <w:pPr>
                        <w:pStyle w:val="BoxCaption"/>
                        <w:rPr>
                          <w:b/>
                        </w:rPr>
                      </w:pPr>
                      <w:bookmarkStart w:id="2" w:name="_Toc530483914"/>
                      <w:r w:rsidRPr="00664B2A">
                        <w:rPr>
                          <w:b/>
                        </w:rPr>
                        <w:t xml:space="preserve">Box </w:t>
                      </w:r>
                      <w:r w:rsidRPr="00664B2A">
                        <w:rPr>
                          <w:b/>
                          <w:noProof/>
                        </w:rPr>
                        <w:fldChar w:fldCharType="begin"/>
                      </w:r>
                      <w:r w:rsidRPr="00664B2A">
                        <w:rPr>
                          <w:b/>
                          <w:noProof/>
                        </w:rPr>
                        <w:instrText xml:space="preserve"> SEQ Box \* ARABIC </w:instrText>
                      </w:r>
                      <w:r w:rsidRPr="00664B2A">
                        <w:rPr>
                          <w:b/>
                          <w:noProof/>
                        </w:rPr>
                        <w:fldChar w:fldCharType="separate"/>
                      </w:r>
                      <w:r w:rsidRPr="00664B2A">
                        <w:rPr>
                          <w:b/>
                          <w:noProof/>
                        </w:rPr>
                        <w:t>1</w:t>
                      </w:r>
                      <w:r w:rsidRPr="00664B2A">
                        <w:rPr>
                          <w:b/>
                          <w:noProof/>
                        </w:rPr>
                        <w:fldChar w:fldCharType="end"/>
                      </w:r>
                      <w:r w:rsidRPr="00664B2A">
                        <w:rPr>
                          <w:b/>
                        </w:rPr>
                        <w:t>.</w:t>
                      </w:r>
                      <w:r w:rsidRPr="00664B2A">
                        <w:rPr>
                          <w:b/>
                        </w:rPr>
                        <w:tab/>
                      </w:r>
                      <w:sdt>
                        <w:sdtPr>
                          <w:rPr>
                            <w:b/>
                          </w:rPr>
                          <w:id w:val="-1451154112"/>
                          <w:text/>
                        </w:sdtPr>
                        <w:sdtEndPr/>
                        <w:sdtContent>
                          <w:r w:rsidRPr="00664B2A">
                            <w:rPr>
                              <w:b/>
                            </w:rPr>
                            <w:t>Land use implications of large scale GGR in Scotland</w:t>
                          </w:r>
                        </w:sdtContent>
                      </w:sdt>
                      <w:bookmarkEnd w:id="2"/>
                    </w:p>
                    <w:p w14:paraId="5AAA1BA7" w14:textId="77777777" w:rsidR="00B63BAB" w:rsidRDefault="00B63BAB" w:rsidP="00B63BAB">
                      <w:pPr>
                        <w:pStyle w:val="BoxBullet"/>
                      </w:pPr>
                      <w:r>
                        <w:t xml:space="preserve">Scotland currently uses 5.6 </w:t>
                      </w:r>
                      <w:proofErr w:type="spellStart"/>
                      <w:r>
                        <w:t>Mha</w:t>
                      </w:r>
                      <w:proofErr w:type="spellEnd"/>
                      <w:r>
                        <w:t xml:space="preserve"> for agriculture. </w:t>
                      </w:r>
                      <w:r w:rsidRPr="00FF72A2">
                        <w:t xml:space="preserve">By 2050, BECCS and biochar will require a combined 0.2-0.4 </w:t>
                      </w:r>
                      <w:proofErr w:type="spellStart"/>
                      <w:r w:rsidRPr="00FF72A2">
                        <w:t>Mha</w:t>
                      </w:r>
                      <w:proofErr w:type="spellEnd"/>
                      <w:r>
                        <w:t xml:space="preserve">, and </w:t>
                      </w:r>
                      <w:r w:rsidRPr="00FF72A2">
                        <w:t>afforestation</w:t>
                      </w:r>
                      <w:r>
                        <w:t xml:space="preserve"> will require around 0.5 </w:t>
                      </w:r>
                      <w:proofErr w:type="spellStart"/>
                      <w:r>
                        <w:t>Mha</w:t>
                      </w:r>
                      <w:proofErr w:type="spellEnd"/>
                      <w:r>
                        <w:t>.</w:t>
                      </w:r>
                    </w:p>
                    <w:p w14:paraId="4AF3C1B7" w14:textId="77777777" w:rsidR="00B63BAB" w:rsidRDefault="00B63BAB" w:rsidP="00B63BAB">
                      <w:pPr>
                        <w:pStyle w:val="BoxBullet"/>
                      </w:pPr>
                      <w:r w:rsidRPr="00FF72A2">
                        <w:t xml:space="preserve">Scotland has 0.2 </w:t>
                      </w:r>
                      <w:proofErr w:type="spellStart"/>
                      <w:r w:rsidRPr="00FF72A2">
                        <w:t>Mha</w:t>
                      </w:r>
                      <w:proofErr w:type="spellEnd"/>
                      <w:r w:rsidRPr="00FF72A2">
                        <w:t xml:space="preserve"> of land marginally suited for short rotation coppice (SCP) which can be used</w:t>
                      </w:r>
                      <w:r>
                        <w:t xml:space="preserve"> for GGR </w:t>
                      </w:r>
                      <w:r w:rsidRPr="00B45585">
                        <w:fldChar w:fldCharType="begin" w:fldLock="1"/>
                      </w:r>
                      <w:r w:rsidRPr="00B45585">
                        <w:instrText>ADDIN CSL_CITATION {"citationItems":[{"id":"ITEM-1","itemData":{"author":[{"dropping-particle":"","family":"Alcade","given":"Juan","non-dropping-particle":"","parse-names":false,"suffix":""},{"dropping-particle":"","family":"Smith","given":"Pete","non-dropping-particle":"","parse-names":false,"suffix":""},{"dropping-particle":"","family":"Hazeldine","given":"Stuart","non-dropping-particle":"","parse-names":false,"suffix":""},{"dropping-particle":"","family":"Bond","given":"Clare","non-dropping-particle":"","parse-names":false,"suffix":""}],"container-title":"International Journal of Greenhouse Gas Control","id":"ITEM-1","issued":{"date-parts":[["2018"]]},"page":"85-91","title":"The potential for implementation of negative emissions technologies in Scotland","type":"article-journal","volume":"76"},"uris":["http://www.mendeley.com/documents/?uuid=f4273b60-f893-4c22-85a7-f042196dba52"]}],"mendeley":{"formattedCitation":"(Alcade et al., 2018)","plainTextFormattedCitation":"(Alcade et al., 2018)","previouslyFormattedCitation":"(Alcade et al., 2018)"},"properties":{"noteIndex":0},"schema":"https://github.com/citation-style-language/schema/raw/master/csl-citation.json"}</w:instrText>
                      </w:r>
                      <w:r w:rsidRPr="00B45585">
                        <w:fldChar w:fldCharType="separate"/>
                      </w:r>
                      <w:r w:rsidRPr="00B45585">
                        <w:rPr>
                          <w:noProof/>
                        </w:rPr>
                        <w:t>(Alcade et al., 2018)</w:t>
                      </w:r>
                      <w:r w:rsidRPr="00B45585">
                        <w:fldChar w:fldCharType="end"/>
                      </w:r>
                      <w:r>
                        <w:t>. Furthermore, agroforestry could reduce the land requirement for afforest</w:t>
                      </w:r>
                      <w:r w:rsidRPr="008D1EEB">
                        <w:t xml:space="preserve">ation </w:t>
                      </w:r>
                      <w:r w:rsidRPr="0097772C">
                        <w:t xml:space="preserve">up to 0.1 </w:t>
                      </w:r>
                      <w:proofErr w:type="spellStart"/>
                      <w:r w:rsidRPr="0097772C">
                        <w:t>Mha</w:t>
                      </w:r>
                      <w:proofErr w:type="spellEnd"/>
                      <w:r w:rsidRPr="008D1EEB">
                        <w:t>, minimising</w:t>
                      </w:r>
                      <w:r w:rsidRPr="00FF72A2">
                        <w:t xml:space="preserve"> competition with agriculture</w:t>
                      </w:r>
                      <w:r>
                        <w:t xml:space="preserve"> </w:t>
                      </w:r>
                      <w:r w:rsidRPr="00B45585">
                        <w:t>(CCC, 2018a)</w:t>
                      </w:r>
                      <w:r w:rsidRPr="00FF72A2">
                        <w:t>.</w:t>
                      </w:r>
                    </w:p>
                    <w:p w14:paraId="045B607A" w14:textId="77777777" w:rsidR="00B63BAB" w:rsidRDefault="00B63BAB" w:rsidP="00B63BAB">
                      <w:pPr>
                        <w:pStyle w:val="BoxBullet"/>
                      </w:pPr>
                      <w:r w:rsidRPr="003D581F">
                        <w:t xml:space="preserve">Overall agricultural production can increase despite GGR deployment, as </w:t>
                      </w:r>
                      <w:r w:rsidRPr="006D3F45">
                        <w:t>agricultural productivity improvements</w:t>
                      </w:r>
                      <w:r w:rsidRPr="002E5BF4">
                        <w:t xml:space="preserve"> from </w:t>
                      </w:r>
                      <w:r>
                        <w:t>the</w:t>
                      </w:r>
                      <w:r w:rsidRPr="003D581F">
                        <w:t xml:space="preserve"> wider agricultural strategy </w:t>
                      </w:r>
                      <w:r w:rsidRPr="003D581F">
                        <w:fldChar w:fldCharType="begin" w:fldLock="1"/>
                      </w:r>
                      <w:r w:rsidRPr="00251C3D">
                        <w:instrText>ADDIN CSL_CITATION {"citationItems":[{"id":"ITEM-1","itemData":{"author":[{"dropping-particle":"","family":"National Farmers Union Scotland","given":"","non-dropping-particle":"","parse-names":false,"suffix":""}],"id":"ITEM-1","issued":{"date-parts":[["2018"]]},"title":"Steps to Change: A new agricultural policy for Scotland","type":"report"},"uris":["http://www.mendeley.com/documents/?uuid=1ce2ecac-7127-43f1-a86b-cf47f14ed55a"]}],"mendeley":{"formattedCitation":"(National Farmers Union Scotland, 2018)","plainTextFormattedCitation":"(National Farmers Union Scotland, 2018)","previouslyFormattedCitation":"(National Farmers Union Scotland, 2018)"},"properties":{"noteIndex":0},"schema":"https://github.com/citation-style-language/schema/raw/master/csl-citation.json"}</w:instrText>
                      </w:r>
                      <w:r w:rsidRPr="003D581F">
                        <w:fldChar w:fldCharType="separate"/>
                      </w:r>
                      <w:r w:rsidRPr="003D581F">
                        <w:rPr>
                          <w:noProof/>
                        </w:rPr>
                        <w:t>(National Farmers Union Scotland, 2018)</w:t>
                      </w:r>
                      <w:r w:rsidRPr="003D581F">
                        <w:fldChar w:fldCharType="end"/>
                      </w:r>
                      <w:r w:rsidRPr="003D581F">
                        <w:t xml:space="preserve"> and associated with some GGR practises </w:t>
                      </w:r>
                      <w:r w:rsidRPr="003D581F">
                        <w:fldChar w:fldCharType="begin" w:fldLock="1"/>
                      </w:r>
                      <w:r w:rsidRPr="00251C3D">
                        <w:instrText>ADDIN CSL_CITATION {"citationItems":[{"id":"ITEM-1","itemData":{"author":[{"dropping-particle":"","family":"The Royal Society","given":"","non-dropping-particle":"","parse-names":false,"suffix":""},{"dropping-particle":"","family":"Royal Academy of Engineering","given":"","non-dropping-particle":"","parse-names":false,"suffix":""}],"id":"ITEM-1","issued":{"date-parts":[["2018"]]},"title":"Greenhouse gas removal","type":"report"},"uris":["http://www.mendeley.com/documents/?uuid=ac328550-32c6-4e0b-bfa3-463065d95b55"]}],"mendeley":{"formattedCitation":"(The Royal Society &amp; Royal Academy of Engineering, 2018)","plainTextFormattedCitation":"(The Royal Society &amp; Royal Academy of Engineering, 2018)","previouslyFormattedCitation":"(The Royal Society &amp; Royal Academy of Engineering, 2018)"},"properties":{"noteIndex":0},"schema":"https://github.com/citation-style-language/schema/raw/master/csl-citation.json"}</w:instrText>
                      </w:r>
                      <w:r w:rsidRPr="003D581F">
                        <w:fldChar w:fldCharType="separate"/>
                      </w:r>
                      <w:r w:rsidRPr="003D581F">
                        <w:rPr>
                          <w:noProof/>
                        </w:rPr>
                        <w:t>(The Royal Society &amp; Royal Academy of Engineering, 2018)</w:t>
                      </w:r>
                      <w:r w:rsidRPr="003D581F">
                        <w:fldChar w:fldCharType="end"/>
                      </w:r>
                      <w:r>
                        <w:t xml:space="preserve"> are expected to outweigh reductions in agricultural land </w:t>
                      </w:r>
                      <w:r w:rsidRPr="003D581F">
                        <w:t>(CCC, 2018a)</w:t>
                      </w:r>
                      <w:r>
                        <w:t xml:space="preserve">. </w:t>
                      </w:r>
                    </w:p>
                    <w:tbl>
                      <w:tblPr>
                        <w:tblStyle w:val="VETableDefault"/>
                        <w:tblW w:w="0" w:type="auto"/>
                        <w:tblInd w:w="279" w:type="dxa"/>
                        <w:tblLook w:val="04A0" w:firstRow="1" w:lastRow="0" w:firstColumn="1" w:lastColumn="0" w:noHBand="0" w:noVBand="1"/>
                      </w:tblPr>
                      <w:tblGrid>
                        <w:gridCol w:w="1401"/>
                        <w:gridCol w:w="1239"/>
                        <w:gridCol w:w="1222"/>
                        <w:gridCol w:w="4639"/>
                      </w:tblGrid>
                      <w:tr w:rsidR="00B63BAB" w14:paraId="1775317A" w14:textId="77777777" w:rsidTr="00664B2A">
                        <w:trPr>
                          <w:cnfStyle w:val="100000000000" w:firstRow="1" w:lastRow="0" w:firstColumn="0" w:lastColumn="0" w:oddVBand="0" w:evenVBand="0" w:oddHBand="0" w:evenHBand="0" w:firstRowFirstColumn="0" w:firstRowLastColumn="0" w:lastRowFirstColumn="0" w:lastRowLastColumn="0"/>
                          <w:trHeight w:val="453"/>
                        </w:trPr>
                        <w:tc>
                          <w:tcPr>
                            <w:tcW w:w="0" w:type="dxa"/>
                          </w:tcPr>
                          <w:p w14:paraId="4090D760" w14:textId="77777777" w:rsidR="00B63BAB" w:rsidRDefault="00B63BAB" w:rsidP="00F17D51">
                            <w:pPr>
                              <w:pStyle w:val="BoxBullet"/>
                              <w:numPr>
                                <w:ilvl w:val="0"/>
                                <w:numId w:val="0"/>
                              </w:numPr>
                              <w:spacing w:after="120" w:line="260" w:lineRule="atLeast"/>
                            </w:pPr>
                            <w:r>
                              <w:t>GGR</w:t>
                            </w:r>
                          </w:p>
                        </w:tc>
                        <w:tc>
                          <w:tcPr>
                            <w:tcW w:w="1276" w:type="dxa"/>
                          </w:tcPr>
                          <w:p w14:paraId="0FA35A6A" w14:textId="77777777" w:rsidR="00B63BAB" w:rsidRDefault="00B63BAB" w:rsidP="00F17D51">
                            <w:pPr>
                              <w:pStyle w:val="BoxBullet"/>
                              <w:numPr>
                                <w:ilvl w:val="0"/>
                                <w:numId w:val="0"/>
                              </w:numPr>
                              <w:spacing w:after="120" w:line="260" w:lineRule="atLeast"/>
                            </w:pPr>
                            <w:r>
                              <w:t>Total land required (</w:t>
                            </w:r>
                            <w:proofErr w:type="spellStart"/>
                            <w:r>
                              <w:t>Mha</w:t>
                            </w:r>
                            <w:proofErr w:type="spellEnd"/>
                            <w:r>
                              <w:t>)</w:t>
                            </w:r>
                          </w:p>
                        </w:tc>
                        <w:tc>
                          <w:tcPr>
                            <w:tcW w:w="1276" w:type="dxa"/>
                          </w:tcPr>
                          <w:p w14:paraId="08D05480" w14:textId="77777777" w:rsidR="00B63BAB" w:rsidRPr="00B45585" w:rsidRDefault="00B63BAB" w:rsidP="00F17D51">
                            <w:pPr>
                              <w:pStyle w:val="BoxBullet"/>
                              <w:numPr>
                                <w:ilvl w:val="0"/>
                                <w:numId w:val="0"/>
                              </w:numPr>
                              <w:spacing w:after="120" w:line="260" w:lineRule="atLeast"/>
                            </w:pPr>
                            <w:r>
                              <w:t>Annual MtCO</w:t>
                            </w:r>
                            <w:r>
                              <w:rPr>
                                <w:vertAlign w:val="subscript"/>
                              </w:rPr>
                              <w:t>2</w:t>
                            </w:r>
                            <w:r>
                              <w:t xml:space="preserve"> abated</w:t>
                            </w:r>
                          </w:p>
                        </w:tc>
                        <w:tc>
                          <w:tcPr>
                            <w:tcW w:w="0" w:type="dxa"/>
                          </w:tcPr>
                          <w:p w14:paraId="3B466A9F" w14:textId="77777777" w:rsidR="00B63BAB" w:rsidRDefault="00B63BAB" w:rsidP="00F17D51">
                            <w:pPr>
                              <w:pStyle w:val="BoxBullet"/>
                              <w:numPr>
                                <w:ilvl w:val="0"/>
                                <w:numId w:val="0"/>
                              </w:numPr>
                              <w:spacing w:after="120" w:line="260" w:lineRule="atLeast"/>
                            </w:pPr>
                            <w:r>
                              <w:t>Notes</w:t>
                            </w:r>
                          </w:p>
                        </w:tc>
                      </w:tr>
                      <w:tr w:rsidR="00B63BAB" w14:paraId="2A76A73D" w14:textId="77777777" w:rsidTr="00664B2A">
                        <w:trPr>
                          <w:cnfStyle w:val="000000100000" w:firstRow="0" w:lastRow="0" w:firstColumn="0" w:lastColumn="0" w:oddVBand="0" w:evenVBand="0" w:oddHBand="1" w:evenHBand="0" w:firstRowFirstColumn="0" w:firstRowLastColumn="0" w:lastRowFirstColumn="0" w:lastRowLastColumn="0"/>
                          <w:trHeight w:val="352"/>
                        </w:trPr>
                        <w:tc>
                          <w:tcPr>
                            <w:tcW w:w="0" w:type="dxa"/>
                          </w:tcPr>
                          <w:p w14:paraId="05F7D563" w14:textId="77777777" w:rsidR="00B63BAB" w:rsidRDefault="00B63BAB" w:rsidP="00F17D51">
                            <w:pPr>
                              <w:pStyle w:val="BoxBullet"/>
                              <w:numPr>
                                <w:ilvl w:val="0"/>
                                <w:numId w:val="0"/>
                              </w:numPr>
                              <w:spacing w:after="120" w:line="260" w:lineRule="atLeast"/>
                            </w:pPr>
                            <w:r>
                              <w:t>BECCS</w:t>
                            </w:r>
                          </w:p>
                        </w:tc>
                        <w:tc>
                          <w:tcPr>
                            <w:tcW w:w="1276" w:type="dxa"/>
                          </w:tcPr>
                          <w:p w14:paraId="0FC1F60F" w14:textId="77777777" w:rsidR="00B63BAB" w:rsidRDefault="00B63BAB" w:rsidP="00B63BAB">
                            <w:pPr>
                              <w:pStyle w:val="BoxBullet"/>
                              <w:numPr>
                                <w:ilvl w:val="1"/>
                                <w:numId w:val="8"/>
                              </w:numPr>
                              <w:spacing w:after="120" w:line="260" w:lineRule="atLeast"/>
                            </w:pPr>
                            <w:r>
                              <w:t xml:space="preserve">0.2 </w:t>
                            </w:r>
                          </w:p>
                        </w:tc>
                        <w:tc>
                          <w:tcPr>
                            <w:tcW w:w="1276" w:type="dxa"/>
                          </w:tcPr>
                          <w:p w14:paraId="1F094EAE" w14:textId="77777777" w:rsidR="00B63BAB" w:rsidRDefault="00B63BAB" w:rsidP="00F17D51">
                            <w:pPr>
                              <w:pStyle w:val="BoxBullet"/>
                              <w:numPr>
                                <w:ilvl w:val="0"/>
                                <w:numId w:val="0"/>
                              </w:numPr>
                              <w:spacing w:after="120" w:line="260" w:lineRule="atLeast"/>
                            </w:pPr>
                            <w:r>
                              <w:t>4.4</w:t>
                            </w:r>
                          </w:p>
                        </w:tc>
                        <w:tc>
                          <w:tcPr>
                            <w:tcW w:w="5143" w:type="dxa"/>
                          </w:tcPr>
                          <w:p w14:paraId="431C29A6" w14:textId="77777777" w:rsidR="00B63BAB" w:rsidRDefault="00B63BAB" w:rsidP="00F17D51">
                            <w:pPr>
                              <w:pStyle w:val="BoxBullet"/>
                              <w:numPr>
                                <w:ilvl w:val="0"/>
                                <w:numId w:val="0"/>
                              </w:numPr>
                              <w:spacing w:after="120" w:line="260" w:lineRule="atLeast"/>
                            </w:pPr>
                            <w:r>
                              <w:t xml:space="preserve">All biomass for BECCS in Scotland is sourced from Scotland. </w:t>
                            </w:r>
                          </w:p>
                        </w:tc>
                      </w:tr>
                      <w:tr w:rsidR="00B63BAB" w14:paraId="6556B027" w14:textId="77777777" w:rsidTr="00664B2A">
                        <w:trPr>
                          <w:trHeight w:val="339"/>
                        </w:trPr>
                        <w:tc>
                          <w:tcPr>
                            <w:tcW w:w="0" w:type="dxa"/>
                          </w:tcPr>
                          <w:p w14:paraId="24FA9226" w14:textId="77777777" w:rsidR="00B63BAB" w:rsidRDefault="00B63BAB" w:rsidP="00F17D51">
                            <w:pPr>
                              <w:pStyle w:val="BoxBullet"/>
                              <w:numPr>
                                <w:ilvl w:val="0"/>
                                <w:numId w:val="0"/>
                              </w:numPr>
                              <w:spacing w:after="120" w:line="260" w:lineRule="atLeast"/>
                            </w:pPr>
                            <w:r>
                              <w:t>Biochar</w:t>
                            </w:r>
                          </w:p>
                        </w:tc>
                        <w:tc>
                          <w:tcPr>
                            <w:tcW w:w="1276" w:type="dxa"/>
                          </w:tcPr>
                          <w:p w14:paraId="3BC57E1E" w14:textId="77777777" w:rsidR="00B63BAB" w:rsidRDefault="00B63BAB" w:rsidP="00F17D51">
                            <w:pPr>
                              <w:pStyle w:val="BoxBullet"/>
                              <w:numPr>
                                <w:ilvl w:val="0"/>
                                <w:numId w:val="0"/>
                              </w:numPr>
                              <w:spacing w:after="120" w:line="260" w:lineRule="atLeast"/>
                            </w:pPr>
                            <w:r>
                              <w:t xml:space="preserve">0.1-0.2 </w:t>
                            </w:r>
                          </w:p>
                        </w:tc>
                        <w:tc>
                          <w:tcPr>
                            <w:tcW w:w="1276" w:type="dxa"/>
                          </w:tcPr>
                          <w:p w14:paraId="22841539" w14:textId="77777777" w:rsidR="00B63BAB" w:rsidRPr="00F424EB" w:rsidRDefault="00B63BAB" w:rsidP="00F17D51">
                            <w:pPr>
                              <w:pStyle w:val="BoxBullet"/>
                              <w:numPr>
                                <w:ilvl w:val="0"/>
                                <w:numId w:val="0"/>
                              </w:numPr>
                              <w:spacing w:after="120" w:line="260" w:lineRule="atLeast"/>
                            </w:pPr>
                            <w:r>
                              <w:t>3.2</w:t>
                            </w:r>
                          </w:p>
                        </w:tc>
                        <w:tc>
                          <w:tcPr>
                            <w:tcW w:w="0" w:type="dxa"/>
                          </w:tcPr>
                          <w:p w14:paraId="402EFAC2" w14:textId="77777777" w:rsidR="00B63BAB" w:rsidRDefault="00B63BAB" w:rsidP="00F17D51">
                            <w:pPr>
                              <w:pStyle w:val="BoxBullet"/>
                              <w:numPr>
                                <w:ilvl w:val="0"/>
                                <w:numId w:val="0"/>
                              </w:numPr>
                              <w:spacing w:after="120" w:line="260" w:lineRule="atLeast"/>
                            </w:pPr>
                            <w:r>
                              <w:t>All</w:t>
                            </w:r>
                            <w:r w:rsidRPr="00F424EB">
                              <w:t xml:space="preserve"> bio</w:t>
                            </w:r>
                            <w:r>
                              <w:t>char</w:t>
                            </w:r>
                            <w:r w:rsidRPr="00F424EB">
                              <w:t xml:space="preserve"> is sourced from Scotland.</w:t>
                            </w:r>
                          </w:p>
                        </w:tc>
                      </w:tr>
                      <w:tr w:rsidR="00B63BAB" w14:paraId="5AFC3CAD" w14:textId="77777777" w:rsidTr="00664B2A">
                        <w:trPr>
                          <w:cnfStyle w:val="000000100000" w:firstRow="0" w:lastRow="0" w:firstColumn="0" w:lastColumn="0" w:oddVBand="0" w:evenVBand="0" w:oddHBand="1" w:evenHBand="0" w:firstRowFirstColumn="0" w:firstRowLastColumn="0" w:lastRowFirstColumn="0" w:lastRowLastColumn="0"/>
                          <w:trHeight w:val="207"/>
                        </w:trPr>
                        <w:tc>
                          <w:tcPr>
                            <w:tcW w:w="0" w:type="dxa"/>
                          </w:tcPr>
                          <w:p w14:paraId="49B0B38A" w14:textId="77777777" w:rsidR="00B63BAB" w:rsidRDefault="00B63BAB" w:rsidP="00F17D51">
                            <w:pPr>
                              <w:pStyle w:val="BoxBullet"/>
                              <w:numPr>
                                <w:ilvl w:val="0"/>
                                <w:numId w:val="0"/>
                              </w:numPr>
                              <w:spacing w:after="120" w:line="260" w:lineRule="atLeast"/>
                            </w:pPr>
                            <w:r>
                              <w:t>Afforestation</w:t>
                            </w:r>
                          </w:p>
                        </w:tc>
                        <w:tc>
                          <w:tcPr>
                            <w:tcW w:w="1276" w:type="dxa"/>
                          </w:tcPr>
                          <w:p w14:paraId="1AE49A24" w14:textId="77777777" w:rsidR="00B63BAB" w:rsidRDefault="00B63BAB" w:rsidP="00F17D51">
                            <w:pPr>
                              <w:pStyle w:val="BoxBullet"/>
                              <w:numPr>
                                <w:ilvl w:val="0"/>
                                <w:numId w:val="0"/>
                              </w:numPr>
                              <w:spacing w:after="120" w:line="260" w:lineRule="atLeast"/>
                            </w:pPr>
                            <w:r>
                              <w:t>0.4-0.5</w:t>
                            </w:r>
                          </w:p>
                        </w:tc>
                        <w:tc>
                          <w:tcPr>
                            <w:tcW w:w="1276" w:type="dxa"/>
                          </w:tcPr>
                          <w:p w14:paraId="4EFA04DC" w14:textId="77777777" w:rsidR="00B63BAB" w:rsidRDefault="00B63BAB" w:rsidP="00F17D51">
                            <w:pPr>
                              <w:pStyle w:val="BoxBullet"/>
                              <w:numPr>
                                <w:ilvl w:val="0"/>
                                <w:numId w:val="0"/>
                              </w:numPr>
                              <w:spacing w:after="120" w:line="260" w:lineRule="atLeast"/>
                            </w:pPr>
                            <w:r>
                              <w:t>6.0</w:t>
                            </w:r>
                          </w:p>
                        </w:tc>
                        <w:tc>
                          <w:tcPr>
                            <w:tcW w:w="5143" w:type="dxa"/>
                          </w:tcPr>
                          <w:p w14:paraId="68994516" w14:textId="77777777" w:rsidR="00B63BAB" w:rsidRDefault="00B63BAB" w:rsidP="00F17D51">
                            <w:pPr>
                              <w:pStyle w:val="BoxBullet"/>
                              <w:numPr>
                                <w:ilvl w:val="0"/>
                                <w:numId w:val="0"/>
                              </w:numPr>
                              <w:spacing w:after="120" w:line="260" w:lineRule="atLeast"/>
                            </w:pPr>
                            <w:r>
                              <w:t xml:space="preserve">This assumes planting rate of 16,000 ha/a as per </w:t>
                            </w:r>
                            <w:r w:rsidRPr="00826C4A">
                              <w:t>CCC</w:t>
                            </w:r>
                            <w:r>
                              <w:t xml:space="preserve"> (</w:t>
                            </w:r>
                            <w:r w:rsidRPr="00826C4A">
                              <w:t>2017)</w:t>
                            </w:r>
                            <w:r>
                              <w:t>. Agroforestry could reduce required planting rates (of forests) by around</w:t>
                            </w:r>
                            <w:r w:rsidRPr="008D1EEB">
                              <w:t xml:space="preserve"> </w:t>
                            </w:r>
                            <w:r w:rsidRPr="0097772C">
                              <w:t>2,000</w:t>
                            </w:r>
                            <w:r>
                              <w:t xml:space="preserve">-3000 </w:t>
                            </w:r>
                            <w:r w:rsidRPr="0097772C">
                              <w:t>ha/a</w:t>
                            </w:r>
                            <w:r w:rsidRPr="00961431">
                              <w:t>.</w:t>
                            </w:r>
                          </w:p>
                        </w:tc>
                      </w:tr>
                    </w:tbl>
                    <w:p w14:paraId="19B090F7" w14:textId="77777777" w:rsidR="00B63BAB" w:rsidRDefault="00B63BAB" w:rsidP="00B63BAB">
                      <w:pPr>
                        <w:pStyle w:val="BoxBullet"/>
                        <w:numPr>
                          <w:ilvl w:val="0"/>
                          <w:numId w:val="0"/>
                        </w:numPr>
                        <w:spacing w:after="120" w:line="260" w:lineRule="atLeast"/>
                      </w:pPr>
                    </w:p>
                  </w:txbxContent>
                </v:textbox>
                <w10:anchorlock/>
              </v:shape>
            </w:pict>
          </mc:Fallback>
        </mc:AlternateContent>
      </w:r>
    </w:p>
    <w:sectPr w:rsidR="00B63BAB" w:rsidSect="00E429C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3227F" w14:textId="77777777" w:rsidR="00080C8B" w:rsidRDefault="00080C8B" w:rsidP="006B6431">
      <w:r>
        <w:separator/>
      </w:r>
    </w:p>
  </w:endnote>
  <w:endnote w:type="continuationSeparator" w:id="0">
    <w:p w14:paraId="70167538" w14:textId="77777777" w:rsidR="00080C8B" w:rsidRDefault="00080C8B" w:rsidP="006B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6EE8" w14:textId="77777777" w:rsidR="009B4E26" w:rsidRDefault="009B4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8"/>
        <w:szCs w:val="18"/>
      </w:rPr>
      <w:id w:val="-1125926943"/>
      <w:docPartObj>
        <w:docPartGallery w:val="Page Numbers (Bottom of Page)"/>
        <w:docPartUnique/>
      </w:docPartObj>
    </w:sdtPr>
    <w:sdtEndPr>
      <w:rPr>
        <w:noProof/>
      </w:rPr>
    </w:sdtEndPr>
    <w:sdtContent>
      <w:p w14:paraId="5E2E9829" w14:textId="19262434" w:rsidR="006652D2" w:rsidRPr="006652D2" w:rsidRDefault="006652D2">
        <w:pPr>
          <w:pStyle w:val="Footer"/>
          <w:jc w:val="right"/>
          <w:rPr>
            <w:rFonts w:ascii="Georgia" w:hAnsi="Georgia"/>
            <w:sz w:val="18"/>
            <w:szCs w:val="18"/>
          </w:rPr>
        </w:pPr>
        <w:r w:rsidRPr="006652D2">
          <w:rPr>
            <w:rFonts w:ascii="Georgia" w:hAnsi="Georgia"/>
            <w:sz w:val="18"/>
            <w:szCs w:val="18"/>
          </w:rPr>
          <w:fldChar w:fldCharType="begin"/>
        </w:r>
        <w:r w:rsidRPr="006652D2">
          <w:rPr>
            <w:rFonts w:ascii="Georgia" w:hAnsi="Georgia"/>
            <w:sz w:val="18"/>
            <w:szCs w:val="18"/>
          </w:rPr>
          <w:instrText xml:space="preserve"> PAGE   \* MERGEFORMAT </w:instrText>
        </w:r>
        <w:r w:rsidRPr="006652D2">
          <w:rPr>
            <w:rFonts w:ascii="Georgia" w:hAnsi="Georgia"/>
            <w:sz w:val="18"/>
            <w:szCs w:val="18"/>
          </w:rPr>
          <w:fldChar w:fldCharType="separate"/>
        </w:r>
        <w:r w:rsidR="00EC7C6C">
          <w:rPr>
            <w:rFonts w:ascii="Georgia" w:hAnsi="Georgia"/>
            <w:noProof/>
            <w:sz w:val="18"/>
            <w:szCs w:val="18"/>
          </w:rPr>
          <w:t>2</w:t>
        </w:r>
        <w:r w:rsidRPr="006652D2">
          <w:rPr>
            <w:rFonts w:ascii="Georgia" w:hAnsi="Georgia"/>
            <w:noProof/>
            <w:sz w:val="18"/>
            <w:szCs w:val="18"/>
          </w:rPr>
          <w:fldChar w:fldCharType="end"/>
        </w:r>
      </w:p>
    </w:sdtContent>
  </w:sdt>
  <w:p w14:paraId="3C9040ED" w14:textId="77777777" w:rsidR="00DF6FCC" w:rsidRPr="00DF6FCC" w:rsidRDefault="00DF6FCC" w:rsidP="00DF6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04" w:type="pct"/>
      <w:tblLayout w:type="fixed"/>
      <w:tblCellMar>
        <w:left w:w="0" w:type="dxa"/>
        <w:right w:w="0" w:type="dxa"/>
      </w:tblCellMar>
      <w:tblLook w:val="0000" w:firstRow="0" w:lastRow="0" w:firstColumn="0" w:lastColumn="0" w:noHBand="0" w:noVBand="0"/>
    </w:tblPr>
    <w:tblGrid>
      <w:gridCol w:w="3590"/>
      <w:gridCol w:w="2084"/>
      <w:gridCol w:w="3540"/>
    </w:tblGrid>
    <w:tr w:rsidR="008C2791" w14:paraId="5BE72985" w14:textId="77777777" w:rsidTr="00342A3C">
      <w:trPr>
        <w:trHeight w:hRule="exact" w:val="1134"/>
      </w:trPr>
      <w:tc>
        <w:tcPr>
          <w:tcW w:w="3590" w:type="dxa"/>
          <w:vAlign w:val="bottom"/>
        </w:tcPr>
        <w:p w14:paraId="73090C5D" w14:textId="77777777" w:rsidR="008C2791" w:rsidRDefault="008C2791" w:rsidP="008F732D">
          <w:pPr>
            <w:pStyle w:val="IIPLogo"/>
          </w:pPr>
        </w:p>
      </w:tc>
      <w:tc>
        <w:tcPr>
          <w:tcW w:w="2084" w:type="dxa"/>
          <w:vAlign w:val="bottom"/>
        </w:tcPr>
        <w:p w14:paraId="3D2C3C54" w14:textId="77777777" w:rsidR="002F4F9E" w:rsidRDefault="002F4F9E" w:rsidP="002F4F9E">
          <w:pPr>
            <w:pStyle w:val="SmallPrint"/>
          </w:pPr>
          <w:r>
            <w:t>President: His Royal Highness,</w:t>
          </w:r>
        </w:p>
        <w:p w14:paraId="651335C2" w14:textId="77777777" w:rsidR="002F4F9E" w:rsidRDefault="002F4F9E" w:rsidP="002F4F9E">
          <w:pPr>
            <w:pStyle w:val="SmallPrint"/>
          </w:pPr>
          <w:r>
            <w:t>The Prince of Wales KG, KT, GCB, OM</w:t>
          </w:r>
        </w:p>
        <w:p w14:paraId="2D024C1D" w14:textId="77777777" w:rsidR="00FF791B" w:rsidRDefault="002F4F9E" w:rsidP="002F4F9E">
          <w:pPr>
            <w:pStyle w:val="SmallPrint"/>
          </w:pPr>
          <w:r>
            <w:t>Chief Executive: Tanya Steele</w:t>
          </w:r>
        </w:p>
      </w:tc>
      <w:tc>
        <w:tcPr>
          <w:tcW w:w="3540" w:type="dxa"/>
          <w:vAlign w:val="bottom"/>
        </w:tcPr>
        <w:p w14:paraId="4C2EB8F2" w14:textId="77777777" w:rsidR="008C2791" w:rsidRDefault="003A0BBD" w:rsidP="008F732D">
          <w:pPr>
            <w:pStyle w:val="SmallPrint"/>
          </w:pPr>
          <w:r>
            <w:t xml:space="preserve">WWF Scotland is an office of WWF-UK. </w:t>
          </w:r>
          <w:r w:rsidR="008C2791">
            <w:t>WWF-UK a charity registered in England and Wales number 1081247 and in Scotland number SC039593, a company limited by guarantee registered in England number 4016725. VAT number</w:t>
          </w:r>
          <w:r w:rsidR="002A53FC">
            <w:t xml:space="preserve"> 733 761821.</w:t>
          </w:r>
        </w:p>
        <w:p w14:paraId="3779EF89" w14:textId="77777777" w:rsidR="008C2791" w:rsidRPr="00E166C9" w:rsidRDefault="009B4E26" w:rsidP="008F732D">
          <w:pPr>
            <w:pStyle w:val="SmallPrint"/>
          </w:pPr>
          <w:r>
            <w:t xml:space="preserve">Registered office: </w:t>
          </w:r>
          <w:r>
            <w:rPr>
              <w:rFonts w:cs="Arial"/>
              <w:color w:val="000000"/>
              <w:szCs w:val="10"/>
            </w:rPr>
            <w:t>The Living Planet Centre, Rufford House, Brewery Road, Woking, Surrey GU21 4L</w:t>
          </w:r>
          <w:r w:rsidR="002013AD">
            <w:rPr>
              <w:rFonts w:cs="Arial"/>
              <w:color w:val="000000"/>
              <w:szCs w:val="10"/>
            </w:rPr>
            <w:t>L</w:t>
          </w:r>
        </w:p>
      </w:tc>
    </w:tr>
  </w:tbl>
  <w:p w14:paraId="4E30A97C" w14:textId="77777777" w:rsidR="008C2791" w:rsidRDefault="008C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20067" w14:textId="77777777" w:rsidR="00080C8B" w:rsidRDefault="00080C8B" w:rsidP="006B6431">
      <w:r>
        <w:separator/>
      </w:r>
    </w:p>
  </w:footnote>
  <w:footnote w:type="continuationSeparator" w:id="0">
    <w:p w14:paraId="3DCD6222" w14:textId="77777777" w:rsidR="00080C8B" w:rsidRDefault="00080C8B" w:rsidP="006B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ACBE" w14:textId="77777777" w:rsidR="009B4E26" w:rsidRDefault="009B4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F9FD" w14:textId="77777777" w:rsidR="006B6431" w:rsidRDefault="006B6431">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939C" w14:textId="77777777" w:rsidR="00201A55" w:rsidRDefault="00201A55">
    <w:pPr>
      <w:pStyle w:val="Header"/>
    </w:pPr>
    <w:r>
      <w:rPr>
        <w:noProof/>
        <w:lang w:eastAsia="en-GB"/>
      </w:rPr>
      <mc:AlternateContent>
        <mc:Choice Requires="wps">
          <w:drawing>
            <wp:anchor distT="0" distB="0" distL="114300" distR="114300" simplePos="0" relativeHeight="251661312" behindDoc="0" locked="0" layoutInCell="1" allowOverlap="1" wp14:anchorId="5AC48372" wp14:editId="3FF38B46">
              <wp:simplePos x="0" y="0"/>
              <wp:positionH relativeFrom="column">
                <wp:posOffset>4619625</wp:posOffset>
              </wp:positionH>
              <wp:positionV relativeFrom="paragraph">
                <wp:posOffset>-49530</wp:posOffset>
              </wp:positionV>
              <wp:extent cx="1590675" cy="15906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159067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DA074" w14:textId="77777777" w:rsidR="00201A55" w:rsidRPr="00AB6215" w:rsidRDefault="00201A55" w:rsidP="00201A55">
                          <w:pPr>
                            <w:pStyle w:val="Header"/>
                            <w:tabs>
                              <w:tab w:val="left" w:pos="7768"/>
                            </w:tabs>
                            <w:rPr>
                              <w:rFonts w:ascii="Arial" w:hAnsi="Arial" w:cs="Arial"/>
                              <w:b/>
                              <w:sz w:val="16"/>
                              <w:szCs w:val="16"/>
                            </w:rPr>
                          </w:pPr>
                          <w:r w:rsidRPr="00AB6215">
                            <w:rPr>
                              <w:rFonts w:ascii="Arial" w:hAnsi="Arial" w:cs="Arial"/>
                              <w:b/>
                              <w:sz w:val="16"/>
                              <w:szCs w:val="16"/>
                            </w:rPr>
                            <w:t>WWF Scotland</w:t>
                          </w:r>
                        </w:p>
                        <w:p w14:paraId="0DE16E7E" w14:textId="77777777" w:rsidR="0070583A" w:rsidRDefault="0070583A" w:rsidP="0029527F">
                          <w:pPr>
                            <w:pStyle w:val="Header"/>
                            <w:tabs>
                              <w:tab w:val="left" w:pos="7768"/>
                            </w:tabs>
                            <w:rPr>
                              <w:rFonts w:ascii="Arial" w:hAnsi="Arial" w:cs="Arial"/>
                              <w:sz w:val="16"/>
                              <w:szCs w:val="16"/>
                            </w:rPr>
                          </w:pPr>
                          <w:r>
                            <w:rPr>
                              <w:rFonts w:ascii="Arial" w:hAnsi="Arial" w:cs="Arial"/>
                              <w:sz w:val="16"/>
                              <w:szCs w:val="16"/>
                            </w:rPr>
                            <w:t>The Tun</w:t>
                          </w:r>
                        </w:p>
                        <w:p w14:paraId="1C587DEA" w14:textId="77777777" w:rsidR="0070583A" w:rsidRDefault="0070583A" w:rsidP="0029527F">
                          <w:pPr>
                            <w:pStyle w:val="Header"/>
                            <w:tabs>
                              <w:tab w:val="left" w:pos="7768"/>
                            </w:tabs>
                            <w:rPr>
                              <w:rFonts w:ascii="Arial" w:hAnsi="Arial" w:cs="Arial"/>
                              <w:sz w:val="16"/>
                              <w:szCs w:val="16"/>
                            </w:rPr>
                          </w:pPr>
                          <w:r>
                            <w:rPr>
                              <w:rFonts w:ascii="Arial" w:hAnsi="Arial" w:cs="Arial"/>
                              <w:sz w:val="16"/>
                              <w:szCs w:val="16"/>
                            </w:rPr>
                            <w:t>4 Jackson’s Entry</w:t>
                          </w:r>
                        </w:p>
                        <w:p w14:paraId="09E33EF2" w14:textId="77777777" w:rsidR="0029527F" w:rsidRPr="00AB6215" w:rsidRDefault="0029527F" w:rsidP="0029527F">
                          <w:pPr>
                            <w:pStyle w:val="Header"/>
                            <w:tabs>
                              <w:tab w:val="left" w:pos="7768"/>
                            </w:tabs>
                            <w:rPr>
                              <w:rFonts w:ascii="Arial" w:hAnsi="Arial" w:cs="Arial"/>
                              <w:sz w:val="16"/>
                              <w:szCs w:val="16"/>
                            </w:rPr>
                          </w:pPr>
                          <w:r>
                            <w:rPr>
                              <w:rFonts w:ascii="Arial" w:hAnsi="Arial" w:cs="Arial"/>
                              <w:sz w:val="16"/>
                              <w:szCs w:val="16"/>
                            </w:rPr>
                            <w:t>Holyrood Road</w:t>
                          </w:r>
                        </w:p>
                        <w:p w14:paraId="6DF28195" w14:textId="77777777" w:rsidR="0029527F" w:rsidRPr="00AB6215" w:rsidRDefault="002C53F7" w:rsidP="0029527F">
                          <w:pPr>
                            <w:pStyle w:val="Header"/>
                            <w:tabs>
                              <w:tab w:val="left" w:pos="7768"/>
                            </w:tabs>
                            <w:rPr>
                              <w:rFonts w:ascii="Arial" w:hAnsi="Arial" w:cs="Arial"/>
                              <w:sz w:val="16"/>
                              <w:szCs w:val="16"/>
                            </w:rPr>
                          </w:pPr>
                          <w:r>
                            <w:rPr>
                              <w:rFonts w:ascii="Arial" w:hAnsi="Arial" w:cs="Arial"/>
                              <w:sz w:val="16"/>
                              <w:szCs w:val="16"/>
                            </w:rPr>
                            <w:t>Edinburgh EH8 8</w:t>
                          </w:r>
                          <w:r w:rsidR="0029527F">
                            <w:rPr>
                              <w:rFonts w:ascii="Arial" w:hAnsi="Arial" w:cs="Arial"/>
                              <w:sz w:val="16"/>
                              <w:szCs w:val="16"/>
                            </w:rPr>
                            <w:t>P</w:t>
                          </w:r>
                          <w:r>
                            <w:rPr>
                              <w:rFonts w:ascii="Arial" w:hAnsi="Arial" w:cs="Arial"/>
                              <w:sz w:val="16"/>
                              <w:szCs w:val="16"/>
                            </w:rPr>
                            <w:t>J</w:t>
                          </w:r>
                        </w:p>
                        <w:p w14:paraId="0B622FC3" w14:textId="77777777" w:rsidR="0029527F" w:rsidRPr="00AB6215" w:rsidRDefault="0029527F" w:rsidP="0029527F">
                          <w:pPr>
                            <w:pStyle w:val="Header"/>
                            <w:tabs>
                              <w:tab w:val="left" w:pos="7768"/>
                            </w:tabs>
                            <w:rPr>
                              <w:rFonts w:ascii="Arial" w:hAnsi="Arial" w:cs="Arial"/>
                              <w:sz w:val="16"/>
                              <w:szCs w:val="16"/>
                            </w:rPr>
                          </w:pPr>
                        </w:p>
                        <w:p w14:paraId="50CEFE6A" w14:textId="77777777" w:rsidR="0029527F" w:rsidRDefault="0029527F" w:rsidP="0029527F">
                          <w:pPr>
                            <w:pStyle w:val="Header"/>
                            <w:tabs>
                              <w:tab w:val="left" w:pos="7768"/>
                            </w:tabs>
                            <w:rPr>
                              <w:rFonts w:ascii="Arial" w:hAnsi="Arial" w:cs="Arial"/>
                              <w:sz w:val="16"/>
                              <w:szCs w:val="16"/>
                            </w:rPr>
                          </w:pPr>
                          <w:r>
                            <w:rPr>
                              <w:rFonts w:ascii="Arial" w:hAnsi="Arial" w:cs="Arial"/>
                              <w:sz w:val="16"/>
                              <w:szCs w:val="16"/>
                            </w:rPr>
                            <w:t>Tel: 0131 659 9100</w:t>
                          </w:r>
                        </w:p>
                        <w:p w14:paraId="300319A7" w14:textId="77777777" w:rsidR="00201A55" w:rsidRPr="00AB6215" w:rsidRDefault="00201A55" w:rsidP="0029527F">
                          <w:pPr>
                            <w:pStyle w:val="Header"/>
                            <w:tabs>
                              <w:tab w:val="left" w:pos="7768"/>
                            </w:tabs>
                            <w:rPr>
                              <w:rFonts w:ascii="Arial" w:hAnsi="Arial" w:cs="Arial"/>
                              <w:sz w:val="16"/>
                              <w:szCs w:val="16"/>
                            </w:rPr>
                          </w:pPr>
                          <w:r w:rsidRPr="00AB6215">
                            <w:rPr>
                              <w:rFonts w:ascii="Arial" w:hAnsi="Arial" w:cs="Arial"/>
                              <w:sz w:val="16"/>
                              <w:szCs w:val="16"/>
                            </w:rPr>
                            <w:t>scotland@wwf.org.uk</w:t>
                          </w:r>
                        </w:p>
                        <w:p w14:paraId="01FBD9CA" w14:textId="77777777" w:rsidR="00201A55" w:rsidRPr="00F37F13" w:rsidRDefault="00201A55" w:rsidP="00201A55">
                          <w:pPr>
                            <w:pStyle w:val="Header"/>
                            <w:tabs>
                              <w:tab w:val="left" w:pos="7768"/>
                            </w:tabs>
                            <w:rPr>
                              <w:rFonts w:ascii="Arial" w:hAnsi="Arial" w:cs="Arial"/>
                              <w:sz w:val="16"/>
                              <w:szCs w:val="16"/>
                            </w:rPr>
                          </w:pPr>
                          <w:r w:rsidRPr="00AB6215">
                            <w:rPr>
                              <w:rFonts w:ascii="Arial" w:hAnsi="Arial" w:cs="Arial"/>
                              <w:sz w:val="16"/>
                              <w:szCs w:val="16"/>
                            </w:rPr>
                            <w:t>wwfscotland.org.uk</w:t>
                          </w:r>
                        </w:p>
                        <w:p w14:paraId="35DEBDC0" w14:textId="77777777" w:rsidR="00201A55" w:rsidRPr="00404D03" w:rsidRDefault="00201A55" w:rsidP="00201A55">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48372" id="_x0000_t202" coordsize="21600,21600" o:spt="202" path="m,l,21600r21600,l21600,xe">
              <v:stroke joinstyle="miter"/>
              <v:path gradientshapeok="t" o:connecttype="rect"/>
            </v:shapetype>
            <v:shape id="Text Box 10" o:spid="_x0000_s1027" type="#_x0000_t202" style="position:absolute;margin-left:363.75pt;margin-top:-3.9pt;width:125.2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" fillcolor="white [3201]" stroked="f" strokeweight=".5pt">
              <v:textbox>
                <w:txbxContent>
                  <w:p w14:paraId="675DA074" w14:textId="77777777" w:rsidR="00201A55" w:rsidRPr="00AB6215" w:rsidRDefault="00201A55" w:rsidP="00201A55">
                    <w:pPr>
                      <w:pStyle w:val="Header"/>
                      <w:tabs>
                        <w:tab w:val="left" w:pos="7768"/>
                      </w:tabs>
                      <w:rPr>
                        <w:rFonts w:ascii="Arial" w:hAnsi="Arial" w:cs="Arial"/>
                        <w:b/>
                        <w:sz w:val="16"/>
                        <w:szCs w:val="16"/>
                      </w:rPr>
                    </w:pPr>
                    <w:r w:rsidRPr="00AB6215">
                      <w:rPr>
                        <w:rFonts w:ascii="Arial" w:hAnsi="Arial" w:cs="Arial"/>
                        <w:b/>
                        <w:sz w:val="16"/>
                        <w:szCs w:val="16"/>
                      </w:rPr>
                      <w:t>WWF Scotland</w:t>
                    </w:r>
                  </w:p>
                  <w:p w14:paraId="0DE16E7E" w14:textId="77777777" w:rsidR="0070583A" w:rsidRDefault="0070583A" w:rsidP="0029527F">
                    <w:pPr>
                      <w:pStyle w:val="Header"/>
                      <w:tabs>
                        <w:tab w:val="left" w:pos="7768"/>
                      </w:tabs>
                      <w:rPr>
                        <w:rFonts w:ascii="Arial" w:hAnsi="Arial" w:cs="Arial"/>
                        <w:sz w:val="16"/>
                        <w:szCs w:val="16"/>
                      </w:rPr>
                    </w:pPr>
                    <w:r>
                      <w:rPr>
                        <w:rFonts w:ascii="Arial" w:hAnsi="Arial" w:cs="Arial"/>
                        <w:sz w:val="16"/>
                        <w:szCs w:val="16"/>
                      </w:rPr>
                      <w:t>The Tun</w:t>
                    </w:r>
                  </w:p>
                  <w:p w14:paraId="1C587DEA" w14:textId="77777777" w:rsidR="0070583A" w:rsidRDefault="0070583A" w:rsidP="0029527F">
                    <w:pPr>
                      <w:pStyle w:val="Header"/>
                      <w:tabs>
                        <w:tab w:val="left" w:pos="7768"/>
                      </w:tabs>
                      <w:rPr>
                        <w:rFonts w:ascii="Arial" w:hAnsi="Arial" w:cs="Arial"/>
                        <w:sz w:val="16"/>
                        <w:szCs w:val="16"/>
                      </w:rPr>
                    </w:pPr>
                    <w:r>
                      <w:rPr>
                        <w:rFonts w:ascii="Arial" w:hAnsi="Arial" w:cs="Arial"/>
                        <w:sz w:val="16"/>
                        <w:szCs w:val="16"/>
                      </w:rPr>
                      <w:t>4 Jackson’s Entry</w:t>
                    </w:r>
                  </w:p>
                  <w:p w14:paraId="09E33EF2" w14:textId="77777777" w:rsidR="0029527F" w:rsidRPr="00AB6215" w:rsidRDefault="0029527F" w:rsidP="0029527F">
                    <w:pPr>
                      <w:pStyle w:val="Header"/>
                      <w:tabs>
                        <w:tab w:val="left" w:pos="7768"/>
                      </w:tabs>
                      <w:rPr>
                        <w:rFonts w:ascii="Arial" w:hAnsi="Arial" w:cs="Arial"/>
                        <w:sz w:val="16"/>
                        <w:szCs w:val="16"/>
                      </w:rPr>
                    </w:pPr>
                    <w:r>
                      <w:rPr>
                        <w:rFonts w:ascii="Arial" w:hAnsi="Arial" w:cs="Arial"/>
                        <w:sz w:val="16"/>
                        <w:szCs w:val="16"/>
                      </w:rPr>
                      <w:t>Holyrood Road</w:t>
                    </w:r>
                  </w:p>
                  <w:p w14:paraId="6DF28195" w14:textId="77777777" w:rsidR="0029527F" w:rsidRPr="00AB6215" w:rsidRDefault="002C53F7" w:rsidP="0029527F">
                    <w:pPr>
                      <w:pStyle w:val="Header"/>
                      <w:tabs>
                        <w:tab w:val="left" w:pos="7768"/>
                      </w:tabs>
                      <w:rPr>
                        <w:rFonts w:ascii="Arial" w:hAnsi="Arial" w:cs="Arial"/>
                        <w:sz w:val="16"/>
                        <w:szCs w:val="16"/>
                      </w:rPr>
                    </w:pPr>
                    <w:r>
                      <w:rPr>
                        <w:rFonts w:ascii="Arial" w:hAnsi="Arial" w:cs="Arial"/>
                        <w:sz w:val="16"/>
                        <w:szCs w:val="16"/>
                      </w:rPr>
                      <w:t>Edinburgh EH8 8</w:t>
                    </w:r>
                    <w:r w:rsidR="0029527F">
                      <w:rPr>
                        <w:rFonts w:ascii="Arial" w:hAnsi="Arial" w:cs="Arial"/>
                        <w:sz w:val="16"/>
                        <w:szCs w:val="16"/>
                      </w:rPr>
                      <w:t>P</w:t>
                    </w:r>
                    <w:r>
                      <w:rPr>
                        <w:rFonts w:ascii="Arial" w:hAnsi="Arial" w:cs="Arial"/>
                        <w:sz w:val="16"/>
                        <w:szCs w:val="16"/>
                      </w:rPr>
                      <w:t>J</w:t>
                    </w:r>
                  </w:p>
                  <w:p w14:paraId="0B622FC3" w14:textId="77777777" w:rsidR="0029527F" w:rsidRPr="00AB6215" w:rsidRDefault="0029527F" w:rsidP="0029527F">
                    <w:pPr>
                      <w:pStyle w:val="Header"/>
                      <w:tabs>
                        <w:tab w:val="left" w:pos="7768"/>
                      </w:tabs>
                      <w:rPr>
                        <w:rFonts w:ascii="Arial" w:hAnsi="Arial" w:cs="Arial"/>
                        <w:sz w:val="16"/>
                        <w:szCs w:val="16"/>
                      </w:rPr>
                    </w:pPr>
                  </w:p>
                  <w:p w14:paraId="50CEFE6A" w14:textId="77777777" w:rsidR="0029527F" w:rsidRDefault="0029527F" w:rsidP="0029527F">
                    <w:pPr>
                      <w:pStyle w:val="Header"/>
                      <w:tabs>
                        <w:tab w:val="left" w:pos="7768"/>
                      </w:tabs>
                      <w:rPr>
                        <w:rFonts w:ascii="Arial" w:hAnsi="Arial" w:cs="Arial"/>
                        <w:sz w:val="16"/>
                        <w:szCs w:val="16"/>
                      </w:rPr>
                    </w:pPr>
                    <w:r>
                      <w:rPr>
                        <w:rFonts w:ascii="Arial" w:hAnsi="Arial" w:cs="Arial"/>
                        <w:sz w:val="16"/>
                        <w:szCs w:val="16"/>
                      </w:rPr>
                      <w:t>Tel: 0131 659 9100</w:t>
                    </w:r>
                  </w:p>
                  <w:p w14:paraId="300319A7" w14:textId="77777777" w:rsidR="00201A55" w:rsidRPr="00AB6215" w:rsidRDefault="00201A55" w:rsidP="0029527F">
                    <w:pPr>
                      <w:pStyle w:val="Header"/>
                      <w:tabs>
                        <w:tab w:val="left" w:pos="7768"/>
                      </w:tabs>
                      <w:rPr>
                        <w:rFonts w:ascii="Arial" w:hAnsi="Arial" w:cs="Arial"/>
                        <w:sz w:val="16"/>
                        <w:szCs w:val="16"/>
                      </w:rPr>
                    </w:pPr>
                    <w:r w:rsidRPr="00AB6215">
                      <w:rPr>
                        <w:rFonts w:ascii="Arial" w:hAnsi="Arial" w:cs="Arial"/>
                        <w:sz w:val="16"/>
                        <w:szCs w:val="16"/>
                      </w:rPr>
                      <w:t>scotland@wwf.org.uk</w:t>
                    </w:r>
                  </w:p>
                  <w:p w14:paraId="01FBD9CA" w14:textId="77777777" w:rsidR="00201A55" w:rsidRPr="00F37F13" w:rsidRDefault="00201A55" w:rsidP="00201A55">
                    <w:pPr>
                      <w:pStyle w:val="Header"/>
                      <w:tabs>
                        <w:tab w:val="left" w:pos="7768"/>
                      </w:tabs>
                      <w:rPr>
                        <w:rFonts w:ascii="Arial" w:hAnsi="Arial" w:cs="Arial"/>
                        <w:sz w:val="16"/>
                        <w:szCs w:val="16"/>
                      </w:rPr>
                    </w:pPr>
                    <w:r w:rsidRPr="00AB6215">
                      <w:rPr>
                        <w:rFonts w:ascii="Arial" w:hAnsi="Arial" w:cs="Arial"/>
                        <w:sz w:val="16"/>
                        <w:szCs w:val="16"/>
                      </w:rPr>
                      <w:t>wwfscotland.org.uk</w:t>
                    </w:r>
                  </w:p>
                  <w:p w14:paraId="35DEBDC0" w14:textId="77777777" w:rsidR="00201A55" w:rsidRPr="00404D03" w:rsidRDefault="00201A55" w:rsidP="00201A55">
                    <w:pPr>
                      <w:rPr>
                        <w:rFonts w:ascii="Arial" w:hAnsi="Arial" w:cs="Arial"/>
                        <w:sz w:val="16"/>
                        <w:szCs w:val="16"/>
                      </w:rPr>
                    </w:pPr>
                  </w:p>
                </w:txbxContent>
              </v:textbox>
            </v:shape>
          </w:pict>
        </mc:Fallback>
      </mc:AlternateContent>
    </w:r>
    <w:r>
      <w:rPr>
        <w:noProof/>
        <w:lang w:eastAsia="en-GB"/>
      </w:rPr>
      <w:drawing>
        <wp:inline distT="0" distB="0" distL="0" distR="0" wp14:anchorId="7D32D49E" wp14:editId="2213A996">
          <wp:extent cx="597535" cy="895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2C6701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5890069C"/>
    <w:lvl w:ilvl="0">
      <w:start w:val="1"/>
      <w:numFmt w:val="decimal"/>
      <w:pStyle w:val="ListNumber"/>
      <w:lvlText w:val="%1."/>
      <w:lvlJc w:val="left"/>
      <w:pPr>
        <w:tabs>
          <w:tab w:val="num" w:pos="360"/>
        </w:tabs>
        <w:ind w:left="360" w:hanging="360"/>
      </w:pPr>
    </w:lvl>
  </w:abstractNum>
  <w:abstractNum w:abstractNumId="2" w15:restartNumberingAfterBreak="0">
    <w:nsid w:val="00351167"/>
    <w:multiLevelType w:val="hybridMultilevel"/>
    <w:tmpl w:val="BB38E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D04AE4"/>
    <w:multiLevelType w:val="hybridMultilevel"/>
    <w:tmpl w:val="7CF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61862"/>
    <w:multiLevelType w:val="hybridMultilevel"/>
    <w:tmpl w:val="55FABC0C"/>
    <w:lvl w:ilvl="0" w:tplc="C9ECF8A4">
      <w:start w:val="1"/>
      <w:numFmt w:val="bullet"/>
      <w:pStyle w:val="BoxBullet"/>
      <w:lvlText w:val="●"/>
      <w:lvlJc w:val="left"/>
      <w:pPr>
        <w:ind w:left="360" w:hanging="360"/>
      </w:pPr>
      <w:rPr>
        <w:rFonts w:ascii="Calibri Light" w:hAnsi="Calibri Light" w:hint="default"/>
        <w:b w:val="0"/>
        <w:color w:val="FFFFFF" w:themeColor="background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F707C9"/>
    <w:multiLevelType w:val="multilevel"/>
    <w:tmpl w:val="A8CC31E6"/>
    <w:numStyleLink w:val="VEBullets"/>
  </w:abstractNum>
  <w:abstractNum w:abstractNumId="6" w15:restartNumberingAfterBreak="0">
    <w:nsid w:val="6299528A"/>
    <w:multiLevelType w:val="hybridMultilevel"/>
    <w:tmpl w:val="F442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26593"/>
    <w:multiLevelType w:val="hybridMultilevel"/>
    <w:tmpl w:val="E704480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724C2B68"/>
    <w:multiLevelType w:val="multilevel"/>
    <w:tmpl w:val="FBEA0C2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FD3FEF"/>
    <w:multiLevelType w:val="hybridMultilevel"/>
    <w:tmpl w:val="E9D66B38"/>
    <w:lvl w:ilvl="0" w:tplc="B7FA610E">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DE03E90"/>
    <w:multiLevelType w:val="multilevel"/>
    <w:tmpl w:val="A8CC31E6"/>
    <w:styleLink w:val="VEBullets"/>
    <w:lvl w:ilvl="0">
      <w:start w:val="1"/>
      <w:numFmt w:val="bullet"/>
      <w:pStyle w:val="ListBullet"/>
      <w:lvlText w:val="●"/>
      <w:lvlJc w:val="left"/>
      <w:pPr>
        <w:ind w:left="680" w:hanging="340"/>
      </w:pPr>
      <w:rPr>
        <w:rFonts w:ascii="Calibri" w:hAnsi="Calibri" w:hint="default"/>
        <w:color w:val="1F497D" w:themeColor="text2"/>
      </w:rPr>
    </w:lvl>
    <w:lvl w:ilvl="1">
      <w:start w:val="1"/>
      <w:numFmt w:val="bullet"/>
      <w:pStyle w:val="ListBullet2"/>
      <w:lvlText w:val=""/>
      <w:lvlJc w:val="left"/>
      <w:pPr>
        <w:ind w:left="1020" w:hanging="340"/>
      </w:pPr>
      <w:rPr>
        <w:rFonts w:ascii="Symbol" w:hAnsi="Symbol" w:hint="default"/>
        <w:color w:val="1F497D" w:themeColor="text2"/>
      </w:rPr>
    </w:lvl>
    <w:lvl w:ilvl="2">
      <w:start w:val="1"/>
      <w:numFmt w:val="bullet"/>
      <w:pStyle w:val="ListBullet3"/>
      <w:lvlText w:val="○"/>
      <w:lvlJc w:val="left"/>
      <w:pPr>
        <w:ind w:left="1360" w:hanging="340"/>
      </w:pPr>
      <w:rPr>
        <w:rFonts w:ascii="Calibri Light" w:hAnsi="Calibri Light" w:hint="default"/>
        <w:color w:val="1F497D" w:themeColor="text2"/>
      </w:rPr>
    </w:lvl>
    <w:lvl w:ilvl="3">
      <w:start w:val="1"/>
      <w:numFmt w:val="bullet"/>
      <w:lvlText w:val="‟"/>
      <w:lvlJc w:val="left"/>
      <w:pPr>
        <w:ind w:left="1700" w:hanging="340"/>
      </w:pPr>
      <w:rPr>
        <w:rFonts w:ascii="Calibri" w:hAnsi="Calibri" w:hint="default"/>
        <w:color w:val="1F497D" w:themeColor="text2"/>
      </w:rPr>
    </w:lvl>
    <w:lvl w:ilvl="4">
      <w:start w:val="1"/>
      <w:numFmt w:val="bullet"/>
      <w:lvlText w:val="o"/>
      <w:lvlJc w:val="left"/>
      <w:pPr>
        <w:tabs>
          <w:tab w:val="num" w:pos="1496"/>
        </w:tabs>
        <w:ind w:left="2040" w:hanging="340"/>
      </w:pPr>
      <w:rPr>
        <w:rFonts w:ascii="Courier New" w:hAnsi="Courier New" w:cs="Courier New" w:hint="default"/>
      </w:rPr>
    </w:lvl>
    <w:lvl w:ilvl="5">
      <w:start w:val="1"/>
      <w:numFmt w:val="bullet"/>
      <w:lvlText w:val=""/>
      <w:lvlJc w:val="left"/>
      <w:pPr>
        <w:tabs>
          <w:tab w:val="num" w:pos="1780"/>
        </w:tabs>
        <w:ind w:left="2380" w:hanging="340"/>
      </w:pPr>
      <w:rPr>
        <w:rFonts w:ascii="Wingdings" w:hAnsi="Wingdings" w:hint="default"/>
      </w:rPr>
    </w:lvl>
    <w:lvl w:ilvl="6">
      <w:start w:val="1"/>
      <w:numFmt w:val="bullet"/>
      <w:lvlText w:val=""/>
      <w:lvlJc w:val="left"/>
      <w:pPr>
        <w:tabs>
          <w:tab w:val="num" w:pos="2064"/>
        </w:tabs>
        <w:ind w:left="2720" w:hanging="340"/>
      </w:pPr>
      <w:rPr>
        <w:rFonts w:ascii="Symbol" w:hAnsi="Symbol" w:hint="default"/>
      </w:rPr>
    </w:lvl>
    <w:lvl w:ilvl="7">
      <w:start w:val="1"/>
      <w:numFmt w:val="bullet"/>
      <w:lvlText w:val="o"/>
      <w:lvlJc w:val="left"/>
      <w:pPr>
        <w:tabs>
          <w:tab w:val="num" w:pos="2348"/>
        </w:tabs>
        <w:ind w:left="3060" w:hanging="340"/>
      </w:pPr>
      <w:rPr>
        <w:rFonts w:ascii="Courier New" w:hAnsi="Courier New" w:cs="Courier New" w:hint="default"/>
      </w:rPr>
    </w:lvl>
    <w:lvl w:ilvl="8">
      <w:start w:val="1"/>
      <w:numFmt w:val="bullet"/>
      <w:lvlText w:val=""/>
      <w:lvlJc w:val="left"/>
      <w:pPr>
        <w:tabs>
          <w:tab w:val="num" w:pos="2632"/>
        </w:tabs>
        <w:ind w:left="3400" w:hanging="340"/>
      </w:pPr>
      <w:rPr>
        <w:rFonts w:ascii="Wingdings" w:hAnsi="Wingdings" w:hint="default"/>
      </w:rPr>
    </w:lvl>
  </w:abstractNum>
  <w:abstractNum w:abstractNumId="11" w15:restartNumberingAfterBreak="0">
    <w:nsid w:val="7E8172D4"/>
    <w:multiLevelType w:val="multilevel"/>
    <w:tmpl w:val="8DCEB776"/>
    <w:name w:val="BulletListTemplate"/>
    <w:lvl w:ilvl="0">
      <w:start w:val="1"/>
      <w:numFmt w:val="decimal"/>
      <w:pStyle w:val="BulletList1"/>
      <w:lvlText w:val="·"/>
      <w:lvlJc w:val="left"/>
      <w:pPr>
        <w:tabs>
          <w:tab w:val="num" w:pos="460"/>
        </w:tabs>
        <w:ind w:left="460" w:hanging="460"/>
      </w:pPr>
      <w:rPr>
        <w:rFonts w:ascii="Symbol" w:hAnsi="Symbol" w:hint="default"/>
      </w:rPr>
    </w:lvl>
    <w:lvl w:ilvl="1">
      <w:start w:val="1"/>
      <w:numFmt w:val="lowerLetter"/>
      <w:pStyle w:val="BulletList2"/>
      <w:lvlText w:val="·"/>
      <w:lvlJc w:val="left"/>
      <w:pPr>
        <w:tabs>
          <w:tab w:val="num" w:pos="900"/>
        </w:tabs>
        <w:ind w:left="900" w:hanging="440"/>
      </w:pPr>
      <w:rPr>
        <w:rFonts w:ascii="Symbol" w:hAnsi="Symbol" w:hint="default"/>
      </w:rPr>
    </w:lvl>
    <w:lvl w:ilvl="2">
      <w:start w:val="1"/>
      <w:numFmt w:val="lowerRoman"/>
      <w:pStyle w:val="BulletList3"/>
      <w:lvlText w:val="·"/>
      <w:lvlJc w:val="left"/>
      <w:pPr>
        <w:tabs>
          <w:tab w:val="num" w:pos="1020"/>
        </w:tabs>
        <w:ind w:left="1020" w:hanging="340"/>
      </w:pPr>
      <w:rPr>
        <w:rFonts w:ascii="Symbol" w:hAnsi="Symbol" w:hint="default"/>
      </w:rPr>
    </w:lvl>
    <w:lvl w:ilvl="3">
      <w:start w:val="1"/>
      <w:numFmt w:val="decimal"/>
      <w:pStyle w:val="BulletList4"/>
      <w:lvlText w:val="·"/>
      <w:lvlJc w:val="left"/>
      <w:pPr>
        <w:tabs>
          <w:tab w:val="num" w:pos="1360"/>
        </w:tabs>
        <w:ind w:left="1360" w:hanging="340"/>
      </w:pPr>
      <w:rPr>
        <w:rFonts w:ascii="Symbol" w:hAnsi="Symbol" w:hint="default"/>
      </w:rPr>
    </w:lvl>
    <w:lvl w:ilvl="4">
      <w:start w:val="1"/>
      <w:numFmt w:val="lowerLetter"/>
      <w:pStyle w:val="BulletList5"/>
      <w:lvlText w:val="·"/>
      <w:lvlJc w:val="left"/>
      <w:pPr>
        <w:tabs>
          <w:tab w:val="num" w:pos="1700"/>
        </w:tabs>
        <w:ind w:left="1700" w:hanging="340"/>
      </w:pPr>
      <w:rPr>
        <w:rFonts w:ascii="Symbol" w:hAnsi="Symbol" w:hint="default"/>
      </w:rPr>
    </w:lvl>
    <w:lvl w:ilvl="5">
      <w:start w:val="1"/>
      <w:numFmt w:val="lowerRoman"/>
      <w:pStyle w:val="BulletList6"/>
      <w:lvlText w:val="·"/>
      <w:lvlJc w:val="left"/>
      <w:pPr>
        <w:tabs>
          <w:tab w:val="num" w:pos="2040"/>
        </w:tabs>
        <w:ind w:left="2040" w:hanging="340"/>
      </w:pPr>
      <w:rPr>
        <w:rFonts w:ascii="Symbol" w:hAnsi="Symbol" w:hint="default"/>
      </w:rPr>
    </w:lvl>
    <w:lvl w:ilvl="6">
      <w:start w:val="1"/>
      <w:numFmt w:val="decimal"/>
      <w:pStyle w:val="BulletList7"/>
      <w:lvlText w:val="·"/>
      <w:lvlJc w:val="left"/>
      <w:pPr>
        <w:tabs>
          <w:tab w:val="num" w:pos="2380"/>
        </w:tabs>
        <w:ind w:left="2380" w:hanging="340"/>
      </w:pPr>
      <w:rPr>
        <w:rFonts w:ascii="Symbol" w:hAnsi="Symbol" w:hint="default"/>
      </w:rPr>
    </w:lvl>
    <w:lvl w:ilvl="7">
      <w:start w:val="1"/>
      <w:numFmt w:val="lowerLetter"/>
      <w:pStyle w:val="BulletList8"/>
      <w:lvlText w:val="·"/>
      <w:lvlJc w:val="left"/>
      <w:pPr>
        <w:tabs>
          <w:tab w:val="num" w:pos="2720"/>
        </w:tabs>
        <w:ind w:left="2720" w:hanging="340"/>
      </w:pPr>
      <w:rPr>
        <w:rFonts w:ascii="Symbol" w:hAnsi="Symbol" w:hint="default"/>
      </w:rPr>
    </w:lvl>
    <w:lvl w:ilvl="8">
      <w:start w:val="1"/>
      <w:numFmt w:val="lowerRoman"/>
      <w:pStyle w:val="BulletList9"/>
      <w:lvlText w:val="·"/>
      <w:lvlJc w:val="left"/>
      <w:pPr>
        <w:tabs>
          <w:tab w:val="num" w:pos="3060"/>
        </w:tabs>
        <w:ind w:left="3060" w:hanging="340"/>
      </w:pPr>
      <w:rPr>
        <w:rFonts w:ascii="Symbol" w:hAnsi="Symbol" w:hint="default"/>
      </w:rPr>
    </w:lvl>
  </w:abstractNum>
  <w:num w:numId="1">
    <w:abstractNumId w:val="11"/>
  </w:num>
  <w:num w:numId="2">
    <w:abstractNumId w:val="1"/>
  </w:num>
  <w:num w:numId="3">
    <w:abstractNumId w:val="9"/>
  </w:num>
  <w:num w:numId="4">
    <w:abstractNumId w:val="10"/>
  </w:num>
  <w:num w:numId="5">
    <w:abstractNumId w:val="5"/>
  </w:num>
  <w:num w:numId="6">
    <w:abstractNumId w:val="3"/>
  </w:num>
  <w:num w:numId="7">
    <w:abstractNumId w:val="4"/>
  </w:num>
  <w:num w:numId="8">
    <w:abstractNumId w:val="8"/>
  </w:num>
  <w:num w:numId="9">
    <w:abstractNumId w:val="6"/>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431"/>
    <w:rsid w:val="00007EC6"/>
    <w:rsid w:val="00034D82"/>
    <w:rsid w:val="0006092E"/>
    <w:rsid w:val="00080C8B"/>
    <w:rsid w:val="000833F3"/>
    <w:rsid w:val="000E6A7F"/>
    <w:rsid w:val="000F713B"/>
    <w:rsid w:val="0017156B"/>
    <w:rsid w:val="00184388"/>
    <w:rsid w:val="00185195"/>
    <w:rsid w:val="001D55AF"/>
    <w:rsid w:val="002013AD"/>
    <w:rsid w:val="00201A55"/>
    <w:rsid w:val="00220FA2"/>
    <w:rsid w:val="002625AE"/>
    <w:rsid w:val="0029527F"/>
    <w:rsid w:val="002A53FC"/>
    <w:rsid w:val="002C53F7"/>
    <w:rsid w:val="002F4F9E"/>
    <w:rsid w:val="00325FCE"/>
    <w:rsid w:val="00342A3C"/>
    <w:rsid w:val="00364CC0"/>
    <w:rsid w:val="003737C8"/>
    <w:rsid w:val="003A0BBD"/>
    <w:rsid w:val="003A71CD"/>
    <w:rsid w:val="00404D03"/>
    <w:rsid w:val="00431EA1"/>
    <w:rsid w:val="004621BC"/>
    <w:rsid w:val="00477D63"/>
    <w:rsid w:val="004C1667"/>
    <w:rsid w:val="004E6D07"/>
    <w:rsid w:val="004F4BB5"/>
    <w:rsid w:val="005205FD"/>
    <w:rsid w:val="0056066B"/>
    <w:rsid w:val="006571CA"/>
    <w:rsid w:val="006652D2"/>
    <w:rsid w:val="006B0345"/>
    <w:rsid w:val="006B6431"/>
    <w:rsid w:val="006C5053"/>
    <w:rsid w:val="006D07C8"/>
    <w:rsid w:val="006E1C84"/>
    <w:rsid w:val="0070583A"/>
    <w:rsid w:val="00712115"/>
    <w:rsid w:val="007130EF"/>
    <w:rsid w:val="00714390"/>
    <w:rsid w:val="0072455F"/>
    <w:rsid w:val="00725B16"/>
    <w:rsid w:val="007D2083"/>
    <w:rsid w:val="007E1934"/>
    <w:rsid w:val="007E5FCC"/>
    <w:rsid w:val="008124BB"/>
    <w:rsid w:val="008344A9"/>
    <w:rsid w:val="00843427"/>
    <w:rsid w:val="008570A7"/>
    <w:rsid w:val="008801BA"/>
    <w:rsid w:val="00896E65"/>
    <w:rsid w:val="008C2791"/>
    <w:rsid w:val="00906A38"/>
    <w:rsid w:val="00916DB9"/>
    <w:rsid w:val="00954612"/>
    <w:rsid w:val="0096239B"/>
    <w:rsid w:val="00975E66"/>
    <w:rsid w:val="00994643"/>
    <w:rsid w:val="009A4C65"/>
    <w:rsid w:val="009B4E26"/>
    <w:rsid w:val="009C0169"/>
    <w:rsid w:val="00A4229F"/>
    <w:rsid w:val="00A94D57"/>
    <w:rsid w:val="00AD4586"/>
    <w:rsid w:val="00B620AD"/>
    <w:rsid w:val="00B63BAB"/>
    <w:rsid w:val="00C21C57"/>
    <w:rsid w:val="00C2422C"/>
    <w:rsid w:val="00C63F29"/>
    <w:rsid w:val="00C756E4"/>
    <w:rsid w:val="00CB5C89"/>
    <w:rsid w:val="00CE495A"/>
    <w:rsid w:val="00D40996"/>
    <w:rsid w:val="00D4111D"/>
    <w:rsid w:val="00DF6FCC"/>
    <w:rsid w:val="00E429CA"/>
    <w:rsid w:val="00E51210"/>
    <w:rsid w:val="00EB22BD"/>
    <w:rsid w:val="00EC7C6C"/>
    <w:rsid w:val="00ED0139"/>
    <w:rsid w:val="00F04A71"/>
    <w:rsid w:val="00F516EB"/>
    <w:rsid w:val="00FA08C7"/>
    <w:rsid w:val="00FC2AE0"/>
    <w:rsid w:val="00FF7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9FF68"/>
  <w15:docId w15:val="{50139CE9-3BEA-409B-8745-AF47F125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54612"/>
    <w:pPr>
      <w:spacing w:after="0" w:line="240" w:lineRule="auto"/>
    </w:pPr>
    <w:rPr>
      <w:rFonts w:ascii="Georgia" w:eastAsia="Times New Roman" w:hAnsi="Georgia" w:cs="Times New Roman"/>
      <w:szCs w:val="24"/>
      <w:lang w:eastAsia="en-GB"/>
    </w:rPr>
  </w:style>
  <w:style w:type="paragraph" w:styleId="Heading1">
    <w:name w:val="heading 1"/>
    <w:basedOn w:val="Base"/>
    <w:next w:val="BodyText"/>
    <w:link w:val="Heading1Char"/>
    <w:qFormat/>
    <w:rsid w:val="00F516EB"/>
    <w:pPr>
      <w:keepNext/>
      <w:keepLines/>
      <w:spacing w:before="280" w:after="280" w:line="175" w:lineRule="auto"/>
      <w:outlineLvl w:val="0"/>
    </w:pPr>
    <w:rPr>
      <w:rFonts w:ascii="Arial" w:hAnsi="Arial" w:cs="Arial"/>
      <w:bCs/>
      <w:sz w:val="48"/>
      <w:szCs w:val="32"/>
    </w:rPr>
  </w:style>
  <w:style w:type="paragraph" w:styleId="Heading2">
    <w:name w:val="heading 2"/>
    <w:basedOn w:val="Heading1"/>
    <w:next w:val="BodyText"/>
    <w:link w:val="Heading2Char"/>
    <w:qFormat/>
    <w:rsid w:val="00F516EB"/>
    <w:pPr>
      <w:spacing w:line="259" w:lineRule="auto"/>
      <w:outlineLvl w:val="1"/>
    </w:pPr>
    <w:rPr>
      <w:b/>
      <w:bCs w:val="0"/>
      <w:iCs/>
      <w:caps/>
      <w:sz w:val="22"/>
      <w:szCs w:val="28"/>
    </w:rPr>
  </w:style>
  <w:style w:type="paragraph" w:styleId="Heading3">
    <w:name w:val="heading 3"/>
    <w:basedOn w:val="Normal"/>
    <w:next w:val="Normal"/>
    <w:link w:val="Heading3Char"/>
    <w:uiPriority w:val="9"/>
    <w:semiHidden/>
    <w:unhideWhenUsed/>
    <w:qFormat/>
    <w:rsid w:val="00F516EB"/>
    <w:pPr>
      <w:keepNext/>
      <w:keepLines/>
      <w:spacing w:before="200"/>
      <w:outlineLvl w:val="2"/>
    </w:pPr>
    <w:rPr>
      <w:rFonts w:ascii="Arial" w:eastAsiaTheme="majorEastAsia" w:hAnsi="Arial"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6431"/>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rsid w:val="006B6431"/>
  </w:style>
  <w:style w:type="paragraph" w:styleId="Footer">
    <w:name w:val="footer"/>
    <w:basedOn w:val="Normal"/>
    <w:link w:val="FooterChar"/>
    <w:uiPriority w:val="99"/>
    <w:unhideWhenUsed/>
    <w:rsid w:val="006B6431"/>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6B6431"/>
  </w:style>
  <w:style w:type="paragraph" w:styleId="BalloonText">
    <w:name w:val="Balloon Text"/>
    <w:basedOn w:val="Normal"/>
    <w:link w:val="BalloonTextChar"/>
    <w:uiPriority w:val="99"/>
    <w:semiHidden/>
    <w:unhideWhenUsed/>
    <w:rsid w:val="006B643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B6431"/>
    <w:rPr>
      <w:rFonts w:ascii="Tahoma" w:hAnsi="Tahoma" w:cs="Tahoma"/>
      <w:sz w:val="16"/>
      <w:szCs w:val="16"/>
    </w:rPr>
  </w:style>
  <w:style w:type="paragraph" w:customStyle="1" w:styleId="SmallPrint">
    <w:name w:val="Small Print"/>
    <w:basedOn w:val="Normal"/>
    <w:rsid w:val="00DF6FCC"/>
    <w:pPr>
      <w:spacing w:line="271" w:lineRule="auto"/>
    </w:pPr>
    <w:rPr>
      <w:rFonts w:ascii="Arial" w:hAnsi="Arial"/>
      <w:sz w:val="10"/>
    </w:rPr>
  </w:style>
  <w:style w:type="paragraph" w:customStyle="1" w:styleId="IIPLogo">
    <w:name w:val="IIP Logo"/>
    <w:basedOn w:val="SmallPrint"/>
    <w:rsid w:val="00DF6FCC"/>
    <w:pPr>
      <w:ind w:right="227"/>
      <w:jc w:val="right"/>
    </w:pPr>
  </w:style>
  <w:style w:type="paragraph" w:customStyle="1" w:styleId="Base">
    <w:name w:val="Base"/>
    <w:basedOn w:val="Normal"/>
    <w:link w:val="BaseChar"/>
    <w:rsid w:val="00954612"/>
    <w:pPr>
      <w:spacing w:line="271" w:lineRule="auto"/>
    </w:pPr>
  </w:style>
  <w:style w:type="paragraph" w:styleId="BodyText">
    <w:name w:val="Body Text"/>
    <w:basedOn w:val="Base"/>
    <w:link w:val="BodyTextChar"/>
    <w:qFormat/>
    <w:rsid w:val="00954612"/>
    <w:pPr>
      <w:spacing w:before="280" w:after="280"/>
    </w:pPr>
  </w:style>
  <w:style w:type="character" w:customStyle="1" w:styleId="BodyTextChar">
    <w:name w:val="Body Text Char"/>
    <w:basedOn w:val="DefaultParagraphFont"/>
    <w:link w:val="BodyText"/>
    <w:rsid w:val="00954612"/>
    <w:rPr>
      <w:rFonts w:ascii="Georgia" w:eastAsia="Times New Roman" w:hAnsi="Georgia" w:cs="Times New Roman"/>
      <w:szCs w:val="24"/>
      <w:lang w:eastAsia="en-GB"/>
    </w:rPr>
  </w:style>
  <w:style w:type="table" w:styleId="TableGrid">
    <w:name w:val="Table Grid"/>
    <w:basedOn w:val="TableNormal"/>
    <w:rsid w:val="009546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Char">
    <w:name w:val="Base Char"/>
    <w:basedOn w:val="DefaultParagraphFont"/>
    <w:link w:val="Base"/>
    <w:rsid w:val="00954612"/>
    <w:rPr>
      <w:rFonts w:ascii="Georgia" w:eastAsia="Times New Roman" w:hAnsi="Georgia" w:cs="Times New Roman"/>
      <w:szCs w:val="24"/>
      <w:lang w:eastAsia="en-GB"/>
    </w:rPr>
  </w:style>
  <w:style w:type="character" w:customStyle="1" w:styleId="Heading1Char">
    <w:name w:val="Heading 1 Char"/>
    <w:basedOn w:val="DefaultParagraphFont"/>
    <w:link w:val="Heading1"/>
    <w:rsid w:val="00F516EB"/>
    <w:rPr>
      <w:rFonts w:ascii="Arial" w:eastAsia="Times New Roman" w:hAnsi="Arial" w:cs="Arial"/>
      <w:bCs/>
      <w:sz w:val="48"/>
      <w:szCs w:val="32"/>
      <w:lang w:eastAsia="en-GB"/>
    </w:rPr>
  </w:style>
  <w:style w:type="character" w:customStyle="1" w:styleId="Heading2Char">
    <w:name w:val="Heading 2 Char"/>
    <w:basedOn w:val="DefaultParagraphFont"/>
    <w:link w:val="Heading2"/>
    <w:rsid w:val="00F516EB"/>
    <w:rPr>
      <w:rFonts w:ascii="Arial" w:eastAsia="Times New Roman" w:hAnsi="Arial" w:cs="Arial"/>
      <w:b/>
      <w:iCs/>
      <w:caps/>
      <w:szCs w:val="28"/>
      <w:lang w:eastAsia="en-GB"/>
    </w:rPr>
  </w:style>
  <w:style w:type="paragraph" w:customStyle="1" w:styleId="BulletList2">
    <w:name w:val="Bullet List 2"/>
    <w:basedOn w:val="BulletList1"/>
    <w:rsid w:val="007D2083"/>
    <w:pPr>
      <w:numPr>
        <w:ilvl w:val="1"/>
      </w:numPr>
    </w:pPr>
  </w:style>
  <w:style w:type="paragraph" w:customStyle="1" w:styleId="BulletList1">
    <w:name w:val="Bullet List 1"/>
    <w:basedOn w:val="Base"/>
    <w:rsid w:val="007D2083"/>
    <w:pPr>
      <w:numPr>
        <w:numId w:val="1"/>
      </w:numPr>
      <w:spacing w:before="280" w:after="280"/>
      <w:ind w:left="459" w:hanging="459"/>
    </w:pPr>
  </w:style>
  <w:style w:type="paragraph" w:customStyle="1" w:styleId="BulletList3">
    <w:name w:val="Bullet List 3"/>
    <w:basedOn w:val="BulletList2"/>
    <w:rsid w:val="007D2083"/>
    <w:pPr>
      <w:numPr>
        <w:ilvl w:val="2"/>
      </w:numPr>
    </w:pPr>
  </w:style>
  <w:style w:type="paragraph" w:customStyle="1" w:styleId="BulletList4">
    <w:name w:val="Bullet List 4"/>
    <w:basedOn w:val="BulletList3"/>
    <w:rsid w:val="007D2083"/>
    <w:pPr>
      <w:numPr>
        <w:ilvl w:val="3"/>
      </w:numPr>
    </w:pPr>
  </w:style>
  <w:style w:type="paragraph" w:customStyle="1" w:styleId="BulletList5">
    <w:name w:val="Bullet List 5"/>
    <w:basedOn w:val="BulletList4"/>
    <w:rsid w:val="007D2083"/>
    <w:pPr>
      <w:numPr>
        <w:ilvl w:val="4"/>
      </w:numPr>
      <w:tabs>
        <w:tab w:val="clear" w:pos="1700"/>
        <w:tab w:val="num" w:pos="1360"/>
      </w:tabs>
      <w:ind w:left="1360"/>
    </w:pPr>
  </w:style>
  <w:style w:type="paragraph" w:customStyle="1" w:styleId="BulletList6">
    <w:name w:val="Bullet List 6"/>
    <w:basedOn w:val="BulletList5"/>
    <w:rsid w:val="007D2083"/>
    <w:pPr>
      <w:numPr>
        <w:ilvl w:val="5"/>
      </w:numPr>
    </w:pPr>
  </w:style>
  <w:style w:type="paragraph" w:customStyle="1" w:styleId="BulletList7">
    <w:name w:val="Bullet List 7"/>
    <w:basedOn w:val="BulletList6"/>
    <w:rsid w:val="007D2083"/>
    <w:pPr>
      <w:numPr>
        <w:ilvl w:val="6"/>
      </w:numPr>
    </w:pPr>
  </w:style>
  <w:style w:type="paragraph" w:customStyle="1" w:styleId="BulletList8">
    <w:name w:val="Bullet List 8"/>
    <w:basedOn w:val="BulletList7"/>
    <w:rsid w:val="007D2083"/>
    <w:pPr>
      <w:numPr>
        <w:ilvl w:val="7"/>
      </w:numPr>
    </w:pPr>
  </w:style>
  <w:style w:type="paragraph" w:customStyle="1" w:styleId="BulletList9">
    <w:name w:val="Bullet List 9"/>
    <w:basedOn w:val="BulletList8"/>
    <w:rsid w:val="007D2083"/>
    <w:pPr>
      <w:numPr>
        <w:ilvl w:val="8"/>
      </w:numPr>
    </w:pPr>
  </w:style>
  <w:style w:type="character" w:styleId="Hyperlink">
    <w:name w:val="Hyperlink"/>
    <w:basedOn w:val="DefaultParagraphFont"/>
    <w:rsid w:val="007D2083"/>
    <w:rPr>
      <w:rFonts w:ascii="Arial" w:hAnsi="Arial"/>
      <w:b/>
      <w:color w:val="auto"/>
      <w:u w:val="single"/>
    </w:rPr>
  </w:style>
  <w:style w:type="paragraph" w:customStyle="1" w:styleId="DocumentDate">
    <w:name w:val="Document Date"/>
    <w:basedOn w:val="BodyText"/>
    <w:rsid w:val="007D2083"/>
    <w:pPr>
      <w:pBdr>
        <w:top w:val="single" w:sz="4" w:space="6" w:color="auto"/>
        <w:bottom w:val="single" w:sz="4" w:space="4" w:color="auto"/>
      </w:pBdr>
    </w:pPr>
    <w:rPr>
      <w:sz w:val="30"/>
    </w:rPr>
  </w:style>
  <w:style w:type="character" w:customStyle="1" w:styleId="Heading3Char">
    <w:name w:val="Heading 3 Char"/>
    <w:basedOn w:val="DefaultParagraphFont"/>
    <w:link w:val="Heading3"/>
    <w:uiPriority w:val="9"/>
    <w:semiHidden/>
    <w:rsid w:val="00F516EB"/>
    <w:rPr>
      <w:rFonts w:ascii="Arial" w:eastAsiaTheme="majorEastAsia" w:hAnsi="Arial" w:cstheme="majorBidi"/>
      <w:b/>
      <w:bCs/>
      <w:szCs w:val="24"/>
      <w:u w:val="single"/>
      <w:lang w:eastAsia="en-GB"/>
    </w:rPr>
  </w:style>
  <w:style w:type="paragraph" w:styleId="ListParagraph">
    <w:name w:val="List Paragraph"/>
    <w:aliases w:val="Numbered"/>
    <w:basedOn w:val="Normal"/>
    <w:next w:val="ListNumber"/>
    <w:uiPriority w:val="34"/>
    <w:qFormat/>
    <w:rsid w:val="00F516EB"/>
    <w:pPr>
      <w:numPr>
        <w:numId w:val="3"/>
      </w:numPr>
      <w:ind w:left="360"/>
      <w:contextualSpacing/>
    </w:pPr>
  </w:style>
  <w:style w:type="paragraph" w:styleId="ListNumber">
    <w:name w:val="List Number"/>
    <w:basedOn w:val="Normal"/>
    <w:uiPriority w:val="99"/>
    <w:semiHidden/>
    <w:unhideWhenUsed/>
    <w:rsid w:val="00F516EB"/>
    <w:pPr>
      <w:numPr>
        <w:numId w:val="2"/>
      </w:numPr>
      <w:contextualSpacing/>
    </w:pPr>
  </w:style>
  <w:style w:type="paragraph" w:styleId="ListBullet">
    <w:name w:val="List Bullet"/>
    <w:uiPriority w:val="8"/>
    <w:unhideWhenUsed/>
    <w:qFormat/>
    <w:rsid w:val="00975E66"/>
    <w:pPr>
      <w:numPr>
        <w:numId w:val="5"/>
      </w:numPr>
      <w:spacing w:line="220" w:lineRule="atLeast"/>
    </w:pPr>
  </w:style>
  <w:style w:type="paragraph" w:styleId="ListBullet2">
    <w:name w:val="List Bullet 2"/>
    <w:uiPriority w:val="9"/>
    <w:unhideWhenUsed/>
    <w:qFormat/>
    <w:rsid w:val="00975E66"/>
    <w:pPr>
      <w:numPr>
        <w:ilvl w:val="1"/>
        <w:numId w:val="5"/>
      </w:numPr>
      <w:spacing w:line="220" w:lineRule="atLeast"/>
    </w:pPr>
  </w:style>
  <w:style w:type="paragraph" w:styleId="ListBullet3">
    <w:name w:val="List Bullet 3"/>
    <w:uiPriority w:val="10"/>
    <w:unhideWhenUsed/>
    <w:qFormat/>
    <w:rsid w:val="00975E66"/>
    <w:pPr>
      <w:numPr>
        <w:ilvl w:val="2"/>
        <w:numId w:val="5"/>
      </w:numPr>
      <w:spacing w:line="220" w:lineRule="atLeast"/>
    </w:pPr>
  </w:style>
  <w:style w:type="numbering" w:customStyle="1" w:styleId="VEBullets">
    <w:name w:val="VE Bullets"/>
    <w:uiPriority w:val="99"/>
    <w:semiHidden/>
    <w:rsid w:val="00975E66"/>
    <w:pPr>
      <w:numPr>
        <w:numId w:val="4"/>
      </w:numPr>
    </w:pPr>
  </w:style>
  <w:style w:type="table" w:customStyle="1" w:styleId="VETableDefault">
    <w:name w:val="VE Table (Default)"/>
    <w:basedOn w:val="TableNormal"/>
    <w:uiPriority w:val="99"/>
    <w:rsid w:val="00B63BAB"/>
    <w:pPr>
      <w:spacing w:line="240" w:lineRule="auto"/>
    </w:pPr>
    <w:rPr>
      <w:rFonts w:eastAsia="Times New Roman"/>
      <w:lang w:eastAsia="en-GB"/>
    </w:rPr>
    <w:tblPr>
      <w:tblStyleRowBandSize w:val="1"/>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tblCellMar>
    </w:tblPr>
    <w:tcPr>
      <w:vAlign w:val="center"/>
    </w:tcPr>
    <w:tblStylePr w:type="firstRow">
      <w:rPr>
        <w:b/>
      </w:rPr>
      <w:tblPr/>
      <w:trPr>
        <w:cantSplit/>
        <w:tblHeader/>
      </w:trPr>
      <w:tcPr>
        <w:tcBorders>
          <w:top w:val="dotted" w:sz="4" w:space="0" w:color="auto"/>
          <w:left w:val="dotted" w:sz="4" w:space="0" w:color="auto"/>
          <w:bottom w:val="single" w:sz="4" w:space="0" w:color="auto"/>
          <w:right w:val="dotted" w:sz="4" w:space="0" w:color="auto"/>
          <w:insideH w:val="dotted" w:sz="4" w:space="0" w:color="auto"/>
          <w:insideV w:val="dotted" w:sz="4" w:space="0" w:color="auto"/>
          <w:tl2br w:val="nil"/>
          <w:tr2bl w:val="nil"/>
        </w:tcBorders>
      </w:tcPr>
    </w:tblStylePr>
    <w:tblStylePr w:type="band1Horz">
      <w:tblPr/>
      <w:tcPr>
        <w:shd w:val="clear" w:color="auto" w:fill="EAF1DD" w:themeFill="accent3" w:themeFillTint="33"/>
      </w:tcPr>
    </w:tblStylePr>
  </w:style>
  <w:style w:type="paragraph" w:customStyle="1" w:styleId="BoxBullet">
    <w:name w:val="Box Bullet"/>
    <w:basedOn w:val="ListBullet"/>
    <w:uiPriority w:val="11"/>
    <w:qFormat/>
    <w:rsid w:val="00B63BAB"/>
    <w:pPr>
      <w:numPr>
        <w:numId w:val="7"/>
      </w:numPr>
    </w:pPr>
    <w:rPr>
      <w:rFonts w:ascii="Calibri" w:hAnsi="Calibri"/>
    </w:rPr>
  </w:style>
  <w:style w:type="paragraph" w:customStyle="1" w:styleId="BoxCaption">
    <w:name w:val="Box Caption"/>
    <w:basedOn w:val="Normal"/>
    <w:next w:val="BoxBullet"/>
    <w:uiPriority w:val="17"/>
    <w:qFormat/>
    <w:rsid w:val="00B63BAB"/>
    <w:pPr>
      <w:spacing w:after="200" w:line="220" w:lineRule="atLeast"/>
      <w:ind w:left="680" w:hanging="680"/>
    </w:pPr>
    <w:rPr>
      <w:rFonts w:ascii="Calibri" w:hAnsi="Calibri" w:cstheme="minorBidi"/>
      <w:szCs w:val="22"/>
    </w:rPr>
  </w:style>
  <w:style w:type="character" w:styleId="UnresolvedMention">
    <w:name w:val="Unresolved Mention"/>
    <w:basedOn w:val="DefaultParagraphFont"/>
    <w:uiPriority w:val="99"/>
    <w:semiHidden/>
    <w:unhideWhenUsed/>
    <w:rsid w:val="009A4C65"/>
    <w:rPr>
      <w:color w:val="808080"/>
      <w:shd w:val="clear" w:color="auto" w:fill="E6E6E6"/>
    </w:rPr>
  </w:style>
  <w:style w:type="character" w:styleId="CommentReference">
    <w:name w:val="annotation reference"/>
    <w:basedOn w:val="DefaultParagraphFont"/>
    <w:uiPriority w:val="99"/>
    <w:semiHidden/>
    <w:unhideWhenUsed/>
    <w:rsid w:val="00EC7C6C"/>
    <w:rPr>
      <w:sz w:val="16"/>
      <w:szCs w:val="16"/>
    </w:rPr>
  </w:style>
  <w:style w:type="paragraph" w:styleId="CommentText">
    <w:name w:val="annotation text"/>
    <w:basedOn w:val="Normal"/>
    <w:link w:val="CommentTextChar"/>
    <w:uiPriority w:val="99"/>
    <w:semiHidden/>
    <w:unhideWhenUsed/>
    <w:rsid w:val="00EC7C6C"/>
    <w:rPr>
      <w:sz w:val="20"/>
      <w:szCs w:val="20"/>
    </w:rPr>
  </w:style>
  <w:style w:type="character" w:customStyle="1" w:styleId="CommentTextChar">
    <w:name w:val="Comment Text Char"/>
    <w:basedOn w:val="DefaultParagraphFont"/>
    <w:link w:val="CommentText"/>
    <w:uiPriority w:val="99"/>
    <w:semiHidden/>
    <w:rsid w:val="00EC7C6C"/>
    <w:rPr>
      <w:rFonts w:ascii="Georgia" w:eastAsia="Times New Roman"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C7C6C"/>
    <w:rPr>
      <w:b/>
      <w:bCs/>
    </w:rPr>
  </w:style>
  <w:style w:type="character" w:customStyle="1" w:styleId="CommentSubjectChar">
    <w:name w:val="Comment Subject Char"/>
    <w:basedOn w:val="CommentTextChar"/>
    <w:link w:val="CommentSubject"/>
    <w:uiPriority w:val="99"/>
    <w:semiHidden/>
    <w:rsid w:val="00EC7C6C"/>
    <w:rPr>
      <w:rFonts w:ascii="Georgia" w:eastAsia="Times New Roman" w:hAnsi="Georgia" w:cs="Times New Roman"/>
      <w:b/>
      <w:bCs/>
      <w:sz w:val="20"/>
      <w:szCs w:val="20"/>
      <w:lang w:eastAsia="en-GB"/>
    </w:rPr>
  </w:style>
  <w:style w:type="paragraph" w:styleId="Caption">
    <w:name w:val="caption"/>
    <w:basedOn w:val="Normal"/>
    <w:next w:val="Normal"/>
    <w:uiPriority w:val="16"/>
    <w:unhideWhenUsed/>
    <w:qFormat/>
    <w:rsid w:val="00364CC0"/>
    <w:pPr>
      <w:pBdr>
        <w:bottom w:val="dotted" w:sz="12" w:space="4" w:color="9BBB59" w:themeColor="accent3"/>
      </w:pBdr>
      <w:spacing w:after="120"/>
      <w:ind w:left="907" w:hanging="907"/>
    </w:pPr>
    <w:rPr>
      <w:rFonts w:ascii="Calibri" w:hAnsi="Calibri" w:cstheme="minorBidi"/>
      <w:iCs/>
      <w:color w:val="1F497D" w:themeColor="text2"/>
      <w:sz w:val="20"/>
      <w:szCs w:val="18"/>
    </w:rPr>
  </w:style>
  <w:style w:type="paragraph" w:customStyle="1" w:styleId="NoteSource">
    <w:name w:val="Note Source"/>
    <w:basedOn w:val="Normal"/>
    <w:next w:val="Normal"/>
    <w:rsid w:val="00364CC0"/>
    <w:pPr>
      <w:pBdr>
        <w:top w:val="dotted" w:sz="12" w:space="4" w:color="9BBB59" w:themeColor="accent3"/>
      </w:pBdr>
      <w:spacing w:before="180" w:after="200" w:line="220" w:lineRule="atLeast"/>
      <w:ind w:left="1021" w:hanging="1021"/>
      <w:contextualSpacing/>
    </w:pPr>
    <w:rPr>
      <w:rFonts w:ascii="Calibri" w:hAnsi="Calibri" w:cstheme="minorBidi"/>
      <w:sz w:val="20"/>
      <w:szCs w:val="22"/>
    </w:rPr>
  </w:style>
  <w:style w:type="paragraph" w:customStyle="1" w:styleId="Picture">
    <w:name w:val="Picture"/>
    <w:basedOn w:val="Normal"/>
    <w:next w:val="NoteSource"/>
    <w:uiPriority w:val="18"/>
    <w:qFormat/>
    <w:rsid w:val="00364CC0"/>
    <w:pPr>
      <w:keepNext/>
      <w:spacing w:after="120" w:line="220" w:lineRule="atLeast"/>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roal@wwfscotland.org.uk"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F8C8CD6D8E439E4A9300109E2544015A" ma:contentTypeVersion="28" ma:contentTypeDescription="Create a new document." ma:contentTypeScope="" ma:versionID="0dd0408e505e7649f3e1357132b86300">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1a88e17ddbadba47653315343f3a6d75"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element ref="ns5:SharedWithUsers" minOccurs="0"/>
                <xsd:element ref="ns5: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0d4702-8bbb-4d41-913b-59f5cd714b16}"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3f0d4702-8bbb-4d41-913b-59f5cd714b16}"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85B90D-D114-4E84-8163-E67E5E869EF7}"/>
</file>

<file path=customXml/itemProps2.xml><?xml version="1.0" encoding="utf-8"?>
<ds:datastoreItem xmlns:ds="http://schemas.openxmlformats.org/officeDocument/2006/customXml" ds:itemID="{EE219ED0-C231-49FC-8C65-47CAF7BC1954}"/>
</file>

<file path=customXml/itemProps3.xml><?xml version="1.0" encoding="utf-8"?>
<ds:datastoreItem xmlns:ds="http://schemas.openxmlformats.org/officeDocument/2006/customXml" ds:itemID="{AEED6FB7-745C-4033-83A3-447948D0B202}"/>
</file>

<file path=customXml/itemProps4.xml><?xml version="1.0" encoding="utf-8"?>
<ds:datastoreItem xmlns:ds="http://schemas.openxmlformats.org/officeDocument/2006/customXml" ds:itemID="{D207A526-B73E-48E2-95D2-8789D31B6447}"/>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WWF-UK</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VividReport_ParliBriefing_Jan2019.docx</dc:title>
  <dc:creator>Lyndsey Croal</dc:creator>
  <cp:lastModifiedBy>Lyndsey Croal</cp:lastModifiedBy>
  <cp:revision>37</cp:revision>
  <cp:lastPrinted>2013-08-27T08:20:00Z</cp:lastPrinted>
  <dcterms:created xsi:type="dcterms:W3CDTF">2019-01-22T11:33:00Z</dcterms:created>
  <dcterms:modified xsi:type="dcterms:W3CDTF">2019-01-22T16:23:00Z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0x010100EF3726457B8C4C4892749E6B4865C3FC00F8C8CD6D8E439E4A9300109E2544015A</vt:lpwstr>
  </property>
  <property fmtid="{D5CDD505-2E9C-101B-9397-08002B2CF9AE}" pid="3" name="Order">
    <vt:r8>100</vt:r8>
  </property>
  <property fmtid="{D5CDD505-2E9C-101B-9397-08002B2CF9AE}" pid="4" name="TaxKeyword">
    <vt:lpwstr/>
  </property>
  <property fmtid="{D5CDD505-2E9C-101B-9397-08002B2CF9AE}" pid="5" name="WWF_Department">
    <vt:lpwstr/>
  </property>
  <property fmtid="{D5CDD505-2E9C-101B-9397-08002B2CF9AE}" pid="6" name="WWF_Sensitivity">
    <vt:lpwstr/>
  </property>
  <property fmtid="{D5CDD505-2E9C-101B-9397-08002B2CF9AE}" pid="7" name="WWF_Document_Status">
    <vt:lpwstr/>
  </property>
  <property fmtid="{D5CDD505-2E9C-101B-9397-08002B2CF9AE}" pid="8" name="WWF_Document_Type">
    <vt:lpwstr/>
  </property>
  <property fmtid="{D5CDD505-2E9C-101B-9397-08002B2CF9AE}" pid="9" name="WWF_Project_Code">
    <vt:lpwstr/>
  </property>
  <property fmtid="{D5CDD505-2E9C-101B-9397-08002B2CF9AE}" pid="10" name="WWF_Goal">
    <vt:lpwstr/>
  </property>
  <property fmtid="{D5CDD505-2E9C-101B-9397-08002B2CF9AE}" pid="11" name="WWF_Office">
    <vt:lpwstr/>
  </property>
</Properties>
</file>